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CC9B5" w14:textId="66BCDA82" w:rsidR="00C640BA" w:rsidRPr="00134F1B" w:rsidRDefault="00C640BA" w:rsidP="00134F1B">
      <w:pPr>
        <w:jc w:val="center"/>
        <w:rPr>
          <w:color w:val="C00000"/>
          <w:sz w:val="30"/>
          <w:szCs w:val="30"/>
        </w:rPr>
      </w:pPr>
      <w:bookmarkStart w:id="0" w:name="_GoBack"/>
      <w:bookmarkEnd w:id="0"/>
      <w:r w:rsidRPr="00134F1B">
        <w:rPr>
          <w:rFonts w:ascii="Georgia" w:hAnsi="Georgia"/>
          <w:color w:val="C00000"/>
          <w:sz w:val="30"/>
          <w:szCs w:val="30"/>
        </w:rPr>
        <w:t xml:space="preserve">Selling University Developed Software </w:t>
      </w:r>
      <w:r w:rsidR="001633BA" w:rsidRPr="00134F1B">
        <w:rPr>
          <w:rFonts w:ascii="Georgia" w:hAnsi="Georgia"/>
          <w:color w:val="C00000"/>
          <w:sz w:val="30"/>
          <w:szCs w:val="30"/>
        </w:rPr>
        <w:t>as a</w:t>
      </w:r>
      <w:r w:rsidRPr="00134F1B">
        <w:rPr>
          <w:rFonts w:ascii="Georgia" w:hAnsi="Georgia"/>
          <w:color w:val="C00000"/>
          <w:sz w:val="30"/>
          <w:szCs w:val="30"/>
        </w:rPr>
        <w:t xml:space="preserve"> Services</w:t>
      </w:r>
    </w:p>
    <w:p w14:paraId="57730064" w14:textId="77777777" w:rsidR="00C640BA" w:rsidRPr="00134F1B" w:rsidRDefault="00C640BA" w:rsidP="00C640BA">
      <w:pPr>
        <w:pStyle w:val="Policyheading1"/>
        <w:spacing w:before="240" w:after="120"/>
        <w:rPr>
          <w:color w:val="auto"/>
          <w:sz w:val="23"/>
          <w:szCs w:val="23"/>
        </w:rPr>
      </w:pPr>
      <w:r w:rsidRPr="00134F1B">
        <w:rPr>
          <w:color w:val="auto"/>
          <w:sz w:val="23"/>
          <w:szCs w:val="23"/>
        </w:rPr>
        <w:t>University Developed Software Technology and Services</w:t>
      </w:r>
    </w:p>
    <w:p w14:paraId="2B86435E" w14:textId="79475640" w:rsidR="001633BA" w:rsidRPr="00134F1B" w:rsidRDefault="00C640BA" w:rsidP="00017B19">
      <w:pPr>
        <w:pStyle w:val="Policyheading2"/>
        <w:numPr>
          <w:ilvl w:val="0"/>
          <w:numId w:val="3"/>
        </w:numPr>
        <w:spacing w:before="240" w:beforeAutospacing="0"/>
        <w:rPr>
          <w:b w:val="0"/>
          <w:sz w:val="23"/>
          <w:szCs w:val="23"/>
        </w:rPr>
      </w:pPr>
      <w:r w:rsidRPr="00134F1B">
        <w:rPr>
          <w:b w:val="0"/>
          <w:sz w:val="23"/>
          <w:szCs w:val="23"/>
        </w:rPr>
        <w:t xml:space="preserve">Software Technology that is developed as a result of academic activity or project may be considered for commercialization. </w:t>
      </w:r>
    </w:p>
    <w:p w14:paraId="39912987" w14:textId="67DF0660" w:rsidR="001633BA" w:rsidRPr="00134F1B" w:rsidRDefault="00C640BA" w:rsidP="00017B19">
      <w:pPr>
        <w:pStyle w:val="Policyheading2"/>
        <w:numPr>
          <w:ilvl w:val="0"/>
          <w:numId w:val="3"/>
        </w:numPr>
        <w:spacing w:before="240" w:beforeAutospacing="0"/>
        <w:rPr>
          <w:b w:val="0"/>
          <w:sz w:val="23"/>
          <w:szCs w:val="23"/>
        </w:rPr>
      </w:pPr>
      <w:r w:rsidRPr="00134F1B">
        <w:rPr>
          <w:b w:val="0"/>
          <w:sz w:val="23"/>
          <w:szCs w:val="23"/>
        </w:rPr>
        <w:t>The path of commercialization depends on the intent of the transaction and if the Intellectual Property (IP) rights will be transferred or licensed externally.</w:t>
      </w:r>
    </w:p>
    <w:p w14:paraId="51A8E475" w14:textId="1AF73693" w:rsidR="001633BA" w:rsidRPr="00134F1B" w:rsidRDefault="00C640BA" w:rsidP="00017B19">
      <w:pPr>
        <w:pStyle w:val="Policyheading2"/>
        <w:numPr>
          <w:ilvl w:val="0"/>
          <w:numId w:val="3"/>
        </w:numPr>
        <w:spacing w:before="240" w:beforeAutospacing="0"/>
        <w:rPr>
          <w:b w:val="0"/>
          <w:sz w:val="23"/>
          <w:szCs w:val="23"/>
        </w:rPr>
      </w:pPr>
      <w:r w:rsidRPr="00134F1B">
        <w:rPr>
          <w:b w:val="0"/>
          <w:sz w:val="23"/>
          <w:szCs w:val="23"/>
        </w:rPr>
        <w:t>If the IP rights will not be transferred or licensed externally the activity is classified as an external sale</w:t>
      </w:r>
      <w:r w:rsidR="00EB2B90" w:rsidRPr="00134F1B">
        <w:rPr>
          <w:b w:val="0"/>
          <w:sz w:val="23"/>
          <w:szCs w:val="23"/>
        </w:rPr>
        <w:t xml:space="preserve"> </w:t>
      </w:r>
      <w:r w:rsidR="009B07FC" w:rsidRPr="00134F1B">
        <w:rPr>
          <w:b w:val="0"/>
          <w:sz w:val="23"/>
          <w:szCs w:val="23"/>
        </w:rPr>
        <w:t xml:space="preserve">and </w:t>
      </w:r>
      <w:r w:rsidRPr="00134F1B">
        <w:rPr>
          <w:b w:val="0"/>
          <w:sz w:val="23"/>
          <w:szCs w:val="23"/>
        </w:rPr>
        <w:t>facilitated via the Extern</w:t>
      </w:r>
      <w:r w:rsidR="00F5496C" w:rsidRPr="00134F1B">
        <w:rPr>
          <w:b w:val="0"/>
          <w:sz w:val="23"/>
          <w:szCs w:val="23"/>
        </w:rPr>
        <w:t>al Sales Office.</w:t>
      </w:r>
    </w:p>
    <w:p w14:paraId="71E2DBC9" w14:textId="0C269798" w:rsidR="00C640BA" w:rsidRPr="00134F1B" w:rsidRDefault="00C640BA" w:rsidP="00017B19">
      <w:pPr>
        <w:pStyle w:val="Policyheading2"/>
        <w:numPr>
          <w:ilvl w:val="0"/>
          <w:numId w:val="3"/>
        </w:numPr>
        <w:spacing w:before="240" w:beforeAutospacing="0"/>
        <w:rPr>
          <w:b w:val="0"/>
          <w:sz w:val="23"/>
          <w:szCs w:val="23"/>
        </w:rPr>
      </w:pPr>
      <w:r w:rsidRPr="00134F1B">
        <w:rPr>
          <w:b w:val="0"/>
          <w:sz w:val="23"/>
          <w:szCs w:val="23"/>
        </w:rPr>
        <w:t>This type of activity is most commonly referred to as Software as a Service (SaaS), End User License Agreements (EULA) and Annual Support Agreements (ASA).</w:t>
      </w:r>
    </w:p>
    <w:p w14:paraId="47BC6185" w14:textId="334D4664" w:rsidR="00C640BA" w:rsidRPr="00134F1B" w:rsidRDefault="00EB2B90" w:rsidP="00017B19">
      <w:pPr>
        <w:pStyle w:val="Policyheading2"/>
        <w:numPr>
          <w:ilvl w:val="0"/>
          <w:numId w:val="3"/>
        </w:numPr>
        <w:spacing w:before="240" w:beforeAutospacing="0"/>
        <w:rPr>
          <w:b w:val="0"/>
          <w:sz w:val="23"/>
          <w:szCs w:val="23"/>
        </w:rPr>
      </w:pPr>
      <w:r w:rsidRPr="00134F1B">
        <w:rPr>
          <w:b w:val="0"/>
          <w:sz w:val="23"/>
          <w:szCs w:val="23"/>
        </w:rPr>
        <w:t xml:space="preserve">If </w:t>
      </w:r>
      <w:r w:rsidR="00C640BA" w:rsidRPr="00134F1B">
        <w:rPr>
          <w:b w:val="0"/>
          <w:sz w:val="23"/>
          <w:szCs w:val="23"/>
        </w:rPr>
        <w:t>IP rights will be transferred or licensed externally the activity must be classified as a Commercializatio</w:t>
      </w:r>
      <w:r w:rsidRPr="00134F1B">
        <w:rPr>
          <w:b w:val="0"/>
          <w:sz w:val="23"/>
          <w:szCs w:val="23"/>
        </w:rPr>
        <w:t xml:space="preserve">n of Intellectual Property </w:t>
      </w:r>
      <w:r w:rsidR="009B07FC" w:rsidRPr="00134F1B">
        <w:rPr>
          <w:b w:val="0"/>
          <w:sz w:val="23"/>
          <w:szCs w:val="23"/>
        </w:rPr>
        <w:t xml:space="preserve">and </w:t>
      </w:r>
      <w:r w:rsidRPr="00134F1B">
        <w:rPr>
          <w:b w:val="0"/>
          <w:sz w:val="23"/>
          <w:szCs w:val="23"/>
        </w:rPr>
        <w:t xml:space="preserve">facilitated via Office </w:t>
      </w:r>
      <w:r w:rsidR="009B07FC" w:rsidRPr="00134F1B">
        <w:rPr>
          <w:b w:val="0"/>
          <w:sz w:val="23"/>
          <w:szCs w:val="23"/>
        </w:rPr>
        <w:t>for Technology</w:t>
      </w:r>
      <w:r w:rsidRPr="00134F1B">
        <w:rPr>
          <w:b w:val="0"/>
          <w:sz w:val="23"/>
          <w:szCs w:val="23"/>
        </w:rPr>
        <w:t xml:space="preserve"> Commercialization.</w:t>
      </w:r>
    </w:p>
    <w:p w14:paraId="20F5F75F" w14:textId="77777777" w:rsidR="00C640BA" w:rsidRPr="00134F1B" w:rsidRDefault="00C640BA" w:rsidP="00C640BA">
      <w:pPr>
        <w:pStyle w:val="Policyheading2"/>
        <w:spacing w:before="240" w:beforeAutospacing="0"/>
        <w:rPr>
          <w:sz w:val="23"/>
          <w:szCs w:val="23"/>
        </w:rPr>
      </w:pPr>
      <w:r w:rsidRPr="00134F1B">
        <w:rPr>
          <w:sz w:val="23"/>
          <w:szCs w:val="23"/>
        </w:rPr>
        <w:t>Handling of Transaction</w:t>
      </w:r>
    </w:p>
    <w:p w14:paraId="171FB900" w14:textId="2AD2BD34" w:rsidR="00C640BA" w:rsidRPr="00134F1B" w:rsidRDefault="00C640BA" w:rsidP="00017B19">
      <w:pPr>
        <w:pStyle w:val="Policyheading2"/>
        <w:numPr>
          <w:ilvl w:val="0"/>
          <w:numId w:val="4"/>
        </w:numPr>
        <w:spacing w:before="240" w:beforeAutospacing="0"/>
        <w:rPr>
          <w:b w:val="0"/>
          <w:sz w:val="23"/>
          <w:szCs w:val="23"/>
        </w:rPr>
      </w:pPr>
      <w:r w:rsidRPr="00134F1B">
        <w:rPr>
          <w:b w:val="0"/>
          <w:sz w:val="23"/>
          <w:szCs w:val="23"/>
        </w:rPr>
        <w:t xml:space="preserve">SaaS, EULA and ASA transactions  treated as External Sales are considered high risk, therefore, the unit conducting the activity must follow the External Sales procedures; </w:t>
      </w:r>
    </w:p>
    <w:p w14:paraId="37090566" w14:textId="7A6B5187" w:rsidR="00C640BA" w:rsidRPr="00134F1B" w:rsidRDefault="00F5496C" w:rsidP="00017B19">
      <w:pPr>
        <w:pStyle w:val="Policyheading2"/>
        <w:numPr>
          <w:ilvl w:val="0"/>
          <w:numId w:val="4"/>
        </w:numPr>
        <w:spacing w:before="240" w:beforeAutospacing="0"/>
        <w:rPr>
          <w:b w:val="0"/>
          <w:sz w:val="23"/>
          <w:szCs w:val="23"/>
        </w:rPr>
      </w:pPr>
      <w:r w:rsidRPr="00134F1B">
        <w:rPr>
          <w:b w:val="0"/>
          <w:sz w:val="23"/>
          <w:szCs w:val="23"/>
        </w:rPr>
        <w:t>D</w:t>
      </w:r>
      <w:r w:rsidR="00C640BA" w:rsidRPr="00134F1B">
        <w:rPr>
          <w:b w:val="0"/>
          <w:sz w:val="23"/>
          <w:szCs w:val="23"/>
        </w:rPr>
        <w:t>uring the approval process the unit must engage with the Office of Information Technology related to server, web hosting, data security and other impacted technology infrastructure capabilities.</w:t>
      </w:r>
    </w:p>
    <w:p w14:paraId="7020F012" w14:textId="260AF404" w:rsidR="00C640BA" w:rsidRPr="00134F1B" w:rsidRDefault="00F5496C" w:rsidP="00017B19">
      <w:pPr>
        <w:pStyle w:val="Policyheading2"/>
        <w:numPr>
          <w:ilvl w:val="0"/>
          <w:numId w:val="4"/>
        </w:numPr>
        <w:spacing w:before="240" w:beforeAutospacing="0"/>
        <w:rPr>
          <w:b w:val="0"/>
          <w:sz w:val="23"/>
          <w:szCs w:val="23"/>
        </w:rPr>
      </w:pPr>
      <w:r w:rsidRPr="00134F1B">
        <w:rPr>
          <w:b w:val="0"/>
          <w:i/>
          <w:sz w:val="23"/>
          <w:szCs w:val="23"/>
        </w:rPr>
        <w:t>R</w:t>
      </w:r>
      <w:r w:rsidR="00C640BA" w:rsidRPr="00134F1B">
        <w:rPr>
          <w:b w:val="0"/>
          <w:sz w:val="23"/>
          <w:szCs w:val="23"/>
        </w:rPr>
        <w:t xml:space="preserve">ates must fully recover all reoccurring and maintenance costs required to support the activity. </w:t>
      </w:r>
    </w:p>
    <w:p w14:paraId="3AA6D076" w14:textId="7C5DD810" w:rsidR="00C640BA" w:rsidRPr="00134F1B" w:rsidRDefault="00F5496C" w:rsidP="00017B19">
      <w:pPr>
        <w:pStyle w:val="Policyheading2"/>
        <w:numPr>
          <w:ilvl w:val="0"/>
          <w:numId w:val="4"/>
        </w:numPr>
        <w:spacing w:before="240" w:beforeAutospacing="0"/>
        <w:rPr>
          <w:b w:val="0"/>
          <w:sz w:val="23"/>
          <w:szCs w:val="23"/>
        </w:rPr>
      </w:pPr>
      <w:r w:rsidRPr="00134F1B">
        <w:rPr>
          <w:b w:val="0"/>
          <w:i/>
          <w:sz w:val="23"/>
          <w:szCs w:val="23"/>
        </w:rPr>
        <w:t>U</w:t>
      </w:r>
      <w:r w:rsidR="00C640BA" w:rsidRPr="00134F1B">
        <w:rPr>
          <w:b w:val="0"/>
          <w:sz w:val="23"/>
          <w:szCs w:val="23"/>
        </w:rPr>
        <w:t>se the specific standard contracts developed by the Office of General Council OGC</w:t>
      </w:r>
      <w:r w:rsidR="00EB2B90" w:rsidRPr="00134F1B">
        <w:rPr>
          <w:b w:val="0"/>
          <w:sz w:val="23"/>
          <w:szCs w:val="23"/>
        </w:rPr>
        <w:t xml:space="preserve"> SCXXX</w:t>
      </w:r>
      <w:r w:rsidR="00C640BA" w:rsidRPr="00134F1B">
        <w:rPr>
          <w:b w:val="0"/>
          <w:sz w:val="23"/>
          <w:szCs w:val="23"/>
        </w:rPr>
        <w:t xml:space="preserve"> developed for SaaS, EULA and ASA activity.</w:t>
      </w:r>
    </w:p>
    <w:p w14:paraId="618879BF" w14:textId="6CA78438" w:rsidR="00017B19" w:rsidRPr="00134F1B" w:rsidRDefault="00017B19" w:rsidP="00F5496C">
      <w:pPr>
        <w:pStyle w:val="Policyheading2"/>
        <w:spacing w:before="240" w:beforeAutospacing="0"/>
        <w:ind w:firstLine="360"/>
        <w:rPr>
          <w:sz w:val="23"/>
          <w:szCs w:val="23"/>
        </w:rPr>
      </w:pPr>
      <w:r w:rsidRPr="00134F1B">
        <w:rPr>
          <w:sz w:val="23"/>
          <w:szCs w:val="23"/>
        </w:rPr>
        <w:t>Definitions</w:t>
      </w:r>
    </w:p>
    <w:p w14:paraId="3BF84D3C" w14:textId="2B02E465" w:rsidR="00017B19" w:rsidRPr="00134F1B" w:rsidRDefault="00017B19" w:rsidP="00017B19">
      <w:pPr>
        <w:shd w:val="clear" w:color="auto" w:fill="FFFFFF"/>
        <w:spacing w:before="150" w:after="0" w:line="234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 w:rsidRPr="00134F1B">
        <w:rPr>
          <w:rFonts w:ascii="Arial" w:eastAsia="Times New Roman" w:hAnsi="Arial" w:cs="Arial"/>
          <w:b/>
          <w:bCs/>
          <w:color w:val="333333"/>
          <w:sz w:val="23"/>
          <w:szCs w:val="23"/>
        </w:rPr>
        <w:t>Academic Work</w:t>
      </w:r>
      <w:r w:rsidR="00EB2B90" w:rsidRPr="00134F1B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- </w:t>
      </w:r>
      <w:r w:rsidRPr="00134F1B">
        <w:rPr>
          <w:rFonts w:ascii="Arial" w:eastAsia="Times New Roman" w:hAnsi="Arial" w:cs="Arial"/>
          <w:color w:val="333333"/>
          <w:sz w:val="23"/>
          <w:szCs w:val="23"/>
        </w:rPr>
        <w:t xml:space="preserve">Scholarly, pedagogical, or creative work, such as an article, book, textbook, </w:t>
      </w:r>
      <w:r w:rsidR="00EB2B90" w:rsidRPr="00134F1B">
        <w:rPr>
          <w:rFonts w:ascii="Arial" w:eastAsia="Times New Roman" w:hAnsi="Arial" w:cs="Arial"/>
          <w:color w:val="333333"/>
          <w:sz w:val="23"/>
          <w:szCs w:val="23"/>
        </w:rPr>
        <w:t xml:space="preserve">and novel, work of visual </w:t>
      </w:r>
      <w:r w:rsidRPr="00134F1B">
        <w:rPr>
          <w:rFonts w:ascii="Arial" w:eastAsia="Times New Roman" w:hAnsi="Arial" w:cs="Arial"/>
          <w:color w:val="333333"/>
          <w:sz w:val="23"/>
          <w:szCs w:val="23"/>
        </w:rPr>
        <w:t>art, dramatic work, musical composition, course syllabus, test, or class notes.</w:t>
      </w:r>
    </w:p>
    <w:p w14:paraId="37C8C1E7" w14:textId="77A454EA" w:rsidR="00017B19" w:rsidRPr="00134F1B" w:rsidRDefault="00F5496C" w:rsidP="00F5496C">
      <w:pPr>
        <w:shd w:val="clear" w:color="auto" w:fill="FFFFFF"/>
        <w:spacing w:before="150" w:after="0" w:line="234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 w:rsidRPr="00134F1B">
        <w:rPr>
          <w:rFonts w:ascii="Arial" w:eastAsia="Times New Roman" w:hAnsi="Arial" w:cs="Arial"/>
          <w:b/>
          <w:bCs/>
          <w:color w:val="333333"/>
          <w:sz w:val="23"/>
          <w:szCs w:val="23"/>
        </w:rPr>
        <w:t>Annual Support Agreement (ASA)</w:t>
      </w:r>
      <w:r w:rsidR="00EB2B90" w:rsidRPr="00134F1B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- </w:t>
      </w:r>
      <w:r w:rsidRPr="00134F1B">
        <w:rPr>
          <w:rFonts w:ascii="Arial" w:eastAsia="Times New Roman" w:hAnsi="Arial" w:cs="Arial"/>
          <w:color w:val="333333"/>
          <w:sz w:val="23"/>
          <w:szCs w:val="23"/>
        </w:rPr>
        <w:t xml:space="preserve">An agreement that defines the software support and maintenance services being provided by the university. </w:t>
      </w:r>
    </w:p>
    <w:p w14:paraId="077F3529" w14:textId="2804ECC5" w:rsidR="00017B19" w:rsidRPr="00134F1B" w:rsidRDefault="00017B19" w:rsidP="00017B19">
      <w:pPr>
        <w:shd w:val="clear" w:color="auto" w:fill="FFFFFF"/>
        <w:spacing w:before="150" w:after="0" w:line="234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 w:rsidRPr="00134F1B">
        <w:rPr>
          <w:rFonts w:ascii="Arial" w:eastAsia="Times New Roman" w:hAnsi="Arial" w:cs="Arial"/>
          <w:b/>
          <w:bCs/>
          <w:color w:val="333333"/>
          <w:sz w:val="23"/>
          <w:szCs w:val="23"/>
        </w:rPr>
        <w:t>End User License Agreement (EULA)</w:t>
      </w:r>
      <w:r w:rsidR="00EB2B90" w:rsidRPr="00134F1B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- </w:t>
      </w:r>
      <w:r w:rsidRPr="00134F1B">
        <w:rPr>
          <w:rFonts w:ascii="Arial" w:eastAsia="Times New Roman" w:hAnsi="Arial" w:cs="Arial"/>
          <w:color w:val="333333"/>
          <w:sz w:val="23"/>
          <w:szCs w:val="23"/>
        </w:rPr>
        <w:t xml:space="preserve">A non-exclusive, end-user license to run computer software provided by the University. The software can be delivered via SaaS model or installed by a license on a customer owned computer. </w:t>
      </w:r>
    </w:p>
    <w:p w14:paraId="0C810D5A" w14:textId="4DE9FA7B" w:rsidR="00EB2B90" w:rsidRPr="00134F1B" w:rsidRDefault="00017B19" w:rsidP="00EB2B90">
      <w:pPr>
        <w:shd w:val="clear" w:color="auto" w:fill="FFFFFF"/>
        <w:spacing w:before="150" w:after="0" w:line="234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 w:rsidRPr="00134F1B">
        <w:rPr>
          <w:rFonts w:ascii="Arial" w:eastAsia="Times New Roman" w:hAnsi="Arial" w:cs="Arial"/>
          <w:b/>
          <w:bCs/>
          <w:color w:val="333333"/>
          <w:sz w:val="23"/>
          <w:szCs w:val="23"/>
        </w:rPr>
        <w:t>Software as a Service (SaaS)</w:t>
      </w:r>
      <w:r w:rsidR="00EB2B90" w:rsidRPr="00134F1B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- </w:t>
      </w:r>
      <w:r w:rsidRPr="00134F1B">
        <w:rPr>
          <w:rFonts w:ascii="Arial" w:eastAsia="Times New Roman" w:hAnsi="Arial" w:cs="Arial"/>
          <w:color w:val="333333"/>
          <w:sz w:val="23"/>
          <w:szCs w:val="23"/>
        </w:rPr>
        <w:t>A software licensing end usage model that allows customers access to software and/or data that are housed on servers controlled by the university.  The data may be university, customer-provided or both. The customer is granted a license to use but not granted a license to distribute, modify or publicly display (e.g., post on an internet site) the software.</w:t>
      </w:r>
    </w:p>
    <w:p w14:paraId="5DDB3DC2" w14:textId="77777777" w:rsidR="00017B19" w:rsidRPr="00134F1B" w:rsidRDefault="00017B19" w:rsidP="00017B19">
      <w:pPr>
        <w:shd w:val="clear" w:color="auto" w:fill="FFFFFF"/>
        <w:spacing w:before="150" w:after="0" w:line="234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 w:rsidRPr="00134F1B">
        <w:rPr>
          <w:rFonts w:ascii="Arial" w:eastAsia="Times New Roman" w:hAnsi="Arial" w:cs="Arial"/>
          <w:b/>
          <w:bCs/>
          <w:color w:val="333333"/>
          <w:sz w:val="23"/>
          <w:szCs w:val="23"/>
        </w:rPr>
        <w:t>Internal/External Sales Office</w:t>
      </w:r>
    </w:p>
    <w:p w14:paraId="1BBE8925" w14:textId="7617A2F0" w:rsidR="00C640BA" w:rsidRPr="00134F1B" w:rsidRDefault="00017B19" w:rsidP="00134F1B">
      <w:pPr>
        <w:shd w:val="clear" w:color="auto" w:fill="FFFFFF"/>
        <w:spacing w:after="0" w:line="234" w:lineRule="atLeast"/>
        <w:rPr>
          <w:sz w:val="23"/>
          <w:szCs w:val="23"/>
        </w:rPr>
      </w:pPr>
      <w:r w:rsidRPr="00134F1B">
        <w:rPr>
          <w:rFonts w:ascii="Arial" w:eastAsia="Times New Roman" w:hAnsi="Arial" w:cs="Arial"/>
          <w:color w:val="333333"/>
          <w:sz w:val="23"/>
          <w:szCs w:val="23"/>
        </w:rPr>
        <w:t xml:space="preserve">Meet with units planning to sell and selling university developed technology and services to ensure the strategy is in the best interest of the university.  </w:t>
      </w:r>
    </w:p>
    <w:sectPr w:rsidR="00C640BA" w:rsidRPr="00134F1B" w:rsidSect="000873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Borders w:offsetFrom="page">
        <w:top w:val="single" w:sz="12" w:space="24" w:color="C00000" w:shadow="1"/>
        <w:left w:val="single" w:sz="12" w:space="24" w:color="C00000" w:shadow="1"/>
        <w:bottom w:val="single" w:sz="12" w:space="24" w:color="C00000" w:shadow="1"/>
        <w:right w:val="single" w:sz="12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C30BA" w14:textId="77777777" w:rsidR="00134F1B" w:rsidRDefault="00134F1B" w:rsidP="00134F1B">
      <w:pPr>
        <w:spacing w:after="0" w:line="240" w:lineRule="auto"/>
      </w:pPr>
      <w:r>
        <w:separator/>
      </w:r>
    </w:p>
  </w:endnote>
  <w:endnote w:type="continuationSeparator" w:id="0">
    <w:p w14:paraId="0AE477E8" w14:textId="77777777" w:rsidR="00134F1B" w:rsidRDefault="00134F1B" w:rsidP="00134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5F1EE" w14:textId="77777777" w:rsidR="00134F1B" w:rsidRDefault="00134F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E4356" w14:textId="5F5E17ED" w:rsidR="00134F1B" w:rsidRPr="00134F1B" w:rsidRDefault="00134F1B">
    <w:pPr>
      <w:pStyle w:val="Footer"/>
      <w:rPr>
        <w:sz w:val="14"/>
      </w:rPr>
    </w:pPr>
    <w:r w:rsidRPr="00134F1B">
      <w:rPr>
        <w:sz w:val="14"/>
      </w:rPr>
      <w:t>FORM:  OGC-SC</w:t>
    </w:r>
    <w:r w:rsidR="003920E4">
      <w:rPr>
        <w:sz w:val="14"/>
      </w:rPr>
      <w:t>136i</w:t>
    </w:r>
  </w:p>
  <w:p w14:paraId="438C7C79" w14:textId="10B52A78" w:rsidR="00134F1B" w:rsidRPr="00134F1B" w:rsidRDefault="00134F1B">
    <w:pPr>
      <w:pStyle w:val="Footer"/>
      <w:rPr>
        <w:sz w:val="14"/>
      </w:rPr>
    </w:pPr>
    <w:r w:rsidRPr="00134F1B">
      <w:rPr>
        <w:sz w:val="14"/>
      </w:rPr>
      <w:t>Form Date:  05.13.16</w:t>
    </w:r>
  </w:p>
  <w:p w14:paraId="112AF053" w14:textId="08F58E9E" w:rsidR="00134F1B" w:rsidRPr="00134F1B" w:rsidRDefault="00134F1B">
    <w:pPr>
      <w:pStyle w:val="Footer"/>
      <w:rPr>
        <w:sz w:val="14"/>
      </w:rPr>
    </w:pPr>
    <w:r w:rsidRPr="00134F1B">
      <w:rPr>
        <w:sz w:val="14"/>
      </w:rPr>
      <w:t>Form Revision Date:  05.13.16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AF066" w14:textId="77777777" w:rsidR="00134F1B" w:rsidRDefault="00134F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70590" w14:textId="77777777" w:rsidR="00134F1B" w:rsidRDefault="00134F1B" w:rsidP="00134F1B">
      <w:pPr>
        <w:spacing w:after="0" w:line="240" w:lineRule="auto"/>
      </w:pPr>
      <w:r>
        <w:separator/>
      </w:r>
    </w:p>
  </w:footnote>
  <w:footnote w:type="continuationSeparator" w:id="0">
    <w:p w14:paraId="03691978" w14:textId="77777777" w:rsidR="00134F1B" w:rsidRDefault="00134F1B" w:rsidP="00134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544E6" w14:textId="77777777" w:rsidR="00134F1B" w:rsidRDefault="00134F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FCEBB" w14:textId="77777777" w:rsidR="00134F1B" w:rsidRDefault="00134F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45D63" w14:textId="77777777" w:rsidR="00134F1B" w:rsidRDefault="00134F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85B48"/>
    <w:multiLevelType w:val="hybridMultilevel"/>
    <w:tmpl w:val="9566DE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D77A9"/>
    <w:multiLevelType w:val="hybridMultilevel"/>
    <w:tmpl w:val="CA3AC6E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 w15:restartNumberingAfterBreak="0">
    <w:nsid w:val="40C4571A"/>
    <w:multiLevelType w:val="hybridMultilevel"/>
    <w:tmpl w:val="843A03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B03A38"/>
    <w:multiLevelType w:val="hybridMultilevel"/>
    <w:tmpl w:val="8CB0A4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/>
  <w:documentProtection w:edit="readOnly" w:enforcement="1" w:cryptProviderType="rsaAES" w:cryptAlgorithmClass="hash" w:cryptAlgorithmType="typeAny" w:cryptAlgorithmSid="14" w:cryptSpinCount="100000" w:hash="jjdzp5+f63IBOgL4FxP2bSREQbbAafzkMxu7m9mXMSgxXpo3kmBbVYyvOkODYZyDAF5zJzkWF8msIa8EElZveQ==" w:salt="wYzn58vf2tRjYI1V2W3O0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65A"/>
    <w:rsid w:val="00017B19"/>
    <w:rsid w:val="00087366"/>
    <w:rsid w:val="00134F1B"/>
    <w:rsid w:val="001453EA"/>
    <w:rsid w:val="00154212"/>
    <w:rsid w:val="001633BA"/>
    <w:rsid w:val="003920E4"/>
    <w:rsid w:val="005211D9"/>
    <w:rsid w:val="00546E93"/>
    <w:rsid w:val="007203A2"/>
    <w:rsid w:val="008D0541"/>
    <w:rsid w:val="009B07FC"/>
    <w:rsid w:val="00C05476"/>
    <w:rsid w:val="00C640BA"/>
    <w:rsid w:val="00D2265A"/>
    <w:rsid w:val="00DE481B"/>
    <w:rsid w:val="00EB2B90"/>
    <w:rsid w:val="00F5496C"/>
    <w:rsid w:val="00F8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31557"/>
  <w15:chartTrackingRefBased/>
  <w15:docId w15:val="{ADB89636-58D1-4907-9668-5920D0B4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6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40BA"/>
    <w:rPr>
      <w:color w:val="0000FF"/>
      <w:u w:val="single"/>
    </w:rPr>
  </w:style>
  <w:style w:type="paragraph" w:customStyle="1" w:styleId="Text">
    <w:name w:val="Text"/>
    <w:basedOn w:val="Normal"/>
    <w:link w:val="TextChar"/>
    <w:qFormat/>
    <w:rsid w:val="00C640B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 w:themeColor="text1"/>
      <w:sz w:val="20"/>
      <w:szCs w:val="16"/>
    </w:rPr>
  </w:style>
  <w:style w:type="character" w:customStyle="1" w:styleId="TextChar">
    <w:name w:val="Text Char"/>
    <w:basedOn w:val="DefaultParagraphFont"/>
    <w:link w:val="Text"/>
    <w:rsid w:val="00C640BA"/>
    <w:rPr>
      <w:rFonts w:ascii="Arial" w:eastAsia="Times New Roman" w:hAnsi="Arial" w:cs="Arial"/>
      <w:color w:val="000000" w:themeColor="text1"/>
      <w:sz w:val="20"/>
      <w:szCs w:val="16"/>
    </w:rPr>
  </w:style>
  <w:style w:type="paragraph" w:customStyle="1" w:styleId="Policyheading2">
    <w:name w:val="Policy heading 2"/>
    <w:basedOn w:val="Text"/>
    <w:link w:val="Policyheading2Char"/>
    <w:qFormat/>
    <w:rsid w:val="00C640BA"/>
    <w:pPr>
      <w:spacing w:after="120" w:afterAutospacing="0"/>
    </w:pPr>
    <w:rPr>
      <w:b/>
    </w:rPr>
  </w:style>
  <w:style w:type="paragraph" w:customStyle="1" w:styleId="Policyheading1">
    <w:name w:val="Policy heading 1"/>
    <w:basedOn w:val="NoSpacing"/>
    <w:link w:val="Policyheading1Char"/>
    <w:qFormat/>
    <w:rsid w:val="00C640BA"/>
    <w:rPr>
      <w:rFonts w:ascii="Arial" w:hAnsi="Arial" w:cs="Arial"/>
      <w:b/>
      <w:color w:val="990000"/>
      <w:sz w:val="24"/>
      <w:szCs w:val="24"/>
    </w:rPr>
  </w:style>
  <w:style w:type="character" w:customStyle="1" w:styleId="Policyheading2Char">
    <w:name w:val="Policy heading 2 Char"/>
    <w:basedOn w:val="TextChar"/>
    <w:link w:val="Policyheading2"/>
    <w:rsid w:val="00C640BA"/>
    <w:rPr>
      <w:rFonts w:ascii="Arial" w:eastAsia="Times New Roman" w:hAnsi="Arial" w:cs="Arial"/>
      <w:b/>
      <w:color w:val="000000" w:themeColor="text1"/>
      <w:sz w:val="20"/>
      <w:szCs w:val="16"/>
    </w:rPr>
  </w:style>
  <w:style w:type="character" w:customStyle="1" w:styleId="Policyheading1Char">
    <w:name w:val="Policy heading 1 Char"/>
    <w:basedOn w:val="DefaultParagraphFont"/>
    <w:link w:val="Policyheading1"/>
    <w:rsid w:val="00C640BA"/>
    <w:rPr>
      <w:rFonts w:ascii="Arial" w:hAnsi="Arial" w:cs="Arial"/>
      <w:b/>
      <w:color w:val="99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640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40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40BA"/>
    <w:rPr>
      <w:sz w:val="20"/>
      <w:szCs w:val="20"/>
    </w:rPr>
  </w:style>
  <w:style w:type="paragraph" w:styleId="NoSpacing">
    <w:name w:val="No Spacing"/>
    <w:uiPriority w:val="1"/>
    <w:qFormat/>
    <w:rsid w:val="00C640B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4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0BA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7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7F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34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F1B"/>
  </w:style>
  <w:style w:type="paragraph" w:styleId="Footer">
    <w:name w:val="footer"/>
    <w:basedOn w:val="Normal"/>
    <w:link w:val="FooterChar"/>
    <w:uiPriority w:val="99"/>
    <w:unhideWhenUsed/>
    <w:rsid w:val="00134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400</Words>
  <Characters>2280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K Jansen</dc:creator>
  <cp:keywords/>
  <dc:description/>
  <cp:lastModifiedBy>Jean M Schatz</cp:lastModifiedBy>
  <cp:revision>3</cp:revision>
  <cp:lastPrinted>2018-04-25T19:15:00Z</cp:lastPrinted>
  <dcterms:created xsi:type="dcterms:W3CDTF">2018-04-25T19:54:00Z</dcterms:created>
  <dcterms:modified xsi:type="dcterms:W3CDTF">2018-04-25T19:59:00Z</dcterms:modified>
</cp:coreProperties>
</file>