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F111" w14:textId="77777777" w:rsidR="000C0EE8" w:rsidRDefault="000C0EE8" w:rsidP="000C0EE8">
      <w:pPr>
        <w:rPr>
          <w:rFonts w:ascii="Georgia" w:hAnsi="Georgia"/>
          <w:color w:val="990000"/>
        </w:rPr>
      </w:pPr>
      <w:r>
        <w:rPr>
          <w:noProof/>
        </w:rPr>
        <w:drawing>
          <wp:inline distT="0" distB="0" distL="0" distR="0" wp14:anchorId="40F620BD" wp14:editId="3D52B98B">
            <wp:extent cx="2343150" cy="372774"/>
            <wp:effectExtent l="0" t="0" r="0" b="8255"/>
            <wp:docPr id="7" name="Picture 7" descr="University of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of Minnesota"/>
                    <pic:cNvPicPr/>
                  </pic:nvPicPr>
                  <pic:blipFill>
                    <a:blip r:embed="rId7">
                      <a:extLst>
                        <a:ext uri="{28A0092B-C50C-407E-A947-70E740481C1C}">
                          <a14:useLocalDpi xmlns:a14="http://schemas.microsoft.com/office/drawing/2010/main" val="0"/>
                        </a:ext>
                      </a:extLst>
                    </a:blip>
                    <a:stretch>
                      <a:fillRect/>
                    </a:stretch>
                  </pic:blipFill>
                  <pic:spPr>
                    <a:xfrm>
                      <a:off x="0" y="0"/>
                      <a:ext cx="2633195" cy="418918"/>
                    </a:xfrm>
                    <a:prstGeom prst="rect">
                      <a:avLst/>
                    </a:prstGeom>
                  </pic:spPr>
                </pic:pic>
              </a:graphicData>
            </a:graphic>
          </wp:inline>
        </w:drawing>
      </w:r>
    </w:p>
    <w:p w14:paraId="0FE4DAAB" w14:textId="77777777" w:rsidR="000C0EE8" w:rsidRPr="00C3607A" w:rsidRDefault="000C0EE8" w:rsidP="000C0EE8">
      <w:pPr>
        <w:rPr>
          <w:rFonts w:ascii="Georgia" w:hAnsi="Georgia"/>
          <w:color w:val="990000"/>
        </w:rPr>
      </w:pPr>
      <w:r>
        <w:rPr>
          <w:rFonts w:ascii="Georgia" w:hAnsi="Georgia"/>
          <w:color w:val="990000"/>
        </w:rPr>
        <w:t>APPENDIX A TO POLICY</w:t>
      </w:r>
    </w:p>
    <w:p w14:paraId="59A57C28" w14:textId="77777777" w:rsidR="000C0EE8" w:rsidRPr="000C0EE8" w:rsidRDefault="000C0EE8" w:rsidP="000C0EE8">
      <w:pPr>
        <w:pStyle w:val="Heading1"/>
      </w:pPr>
      <w:r w:rsidRPr="000C0EE8">
        <w:t>Roles and Responsibilities of Advisors and Support Persons</w:t>
      </w:r>
    </w:p>
    <w:p w14:paraId="3C98E08D" w14:textId="77777777" w:rsidR="000C0EE8" w:rsidRDefault="000C0EE8" w:rsidP="000C0EE8">
      <w:pPr>
        <w:pBdr>
          <w:top w:val="single" w:sz="8" w:space="1" w:color="auto"/>
          <w:bottom w:val="single" w:sz="8" w:space="1" w:color="auto"/>
        </w:pBdr>
        <w:spacing w:before="120" w:after="0" w:line="240" w:lineRule="auto"/>
      </w:pPr>
      <w:r>
        <w:rPr>
          <w:rFonts w:ascii="Arial" w:eastAsia="Times New Roman" w:hAnsi="Arial" w:cs="Arial"/>
          <w:b/>
          <w:sz w:val="20"/>
          <w:szCs w:val="20"/>
        </w:rPr>
        <w:t xml:space="preserve">Related Policy: </w:t>
      </w:r>
      <w:r>
        <w:rPr>
          <w:rFonts w:ascii="Arial" w:eastAsia="Times New Roman" w:hAnsi="Arial" w:cs="Arial"/>
          <w:sz w:val="20"/>
          <w:szCs w:val="20"/>
        </w:rPr>
        <w:t>Sexual Harassment, Sexual Assault, Stalking and Relationship Violence</w:t>
      </w:r>
    </w:p>
    <w:p w14:paraId="4FEB48C7" w14:textId="77777777" w:rsidR="000C0EE8" w:rsidRPr="00A05CA6" w:rsidRDefault="000C0EE8" w:rsidP="000C0EE8">
      <w:pPr>
        <w:pStyle w:val="Policyheading2"/>
        <w:spacing w:before="240" w:beforeAutospacing="0"/>
        <w:rPr>
          <w:b w:val="0"/>
        </w:rPr>
      </w:pPr>
      <w:r>
        <w:rPr>
          <w:b w:val="0"/>
        </w:rPr>
        <w:t xml:space="preserve">I, ___________________________________, am a party in a </w:t>
      </w:r>
      <w:proofErr w:type="gramStart"/>
      <w:r>
        <w:rPr>
          <w:b w:val="0"/>
        </w:rPr>
        <w:t>University</w:t>
      </w:r>
      <w:proofErr w:type="gramEnd"/>
      <w:r>
        <w:rPr>
          <w:b w:val="0"/>
        </w:rPr>
        <w:t xml:space="preserve"> grievance process or informal problem-solving process related to a report of sexual harassment, sexual assault, stalking, relationship violence or related retaliation (collectively, response process).  My advisor/support person, ___________________________________, and I (the party) have reviewed the information provided in this form.  We understand the information provided in this form and agree to abide by the </w:t>
      </w:r>
      <w:r w:rsidRPr="00A05CA6">
        <w:rPr>
          <w:b w:val="0"/>
        </w:rPr>
        <w:t>obligations for advisors</w:t>
      </w:r>
      <w:r>
        <w:rPr>
          <w:b w:val="0"/>
        </w:rPr>
        <w:t xml:space="preserve">/support persons and parties </w:t>
      </w:r>
      <w:r w:rsidRPr="00A05CA6">
        <w:rPr>
          <w:b w:val="0"/>
        </w:rPr>
        <w:t>set forth in this form.</w:t>
      </w:r>
      <w:r w:rsidRPr="005E628D">
        <w:rPr>
          <w:rStyle w:val="FootnoteReference"/>
          <w:b w:val="0"/>
          <w:szCs w:val="20"/>
        </w:rPr>
        <w:t xml:space="preserve"> </w:t>
      </w:r>
    </w:p>
    <w:p w14:paraId="1053E60B" w14:textId="508B0341" w:rsidR="000C0EE8" w:rsidRDefault="000C0EE8" w:rsidP="000C0EE8">
      <w:pPr>
        <w:pStyle w:val="Policyheading2"/>
        <w:numPr>
          <w:ilvl w:val="0"/>
          <w:numId w:val="1"/>
        </w:numPr>
        <w:spacing w:before="240" w:beforeAutospacing="0"/>
        <w:ind w:left="360"/>
        <w:rPr>
          <w:b w:val="0"/>
        </w:rPr>
      </w:pPr>
      <w:r>
        <w:rPr>
          <w:b w:val="0"/>
        </w:rPr>
        <w:t xml:space="preserve">The University’s </w:t>
      </w:r>
      <w:r w:rsidR="0072781D">
        <w:rPr>
          <w:b w:val="0"/>
        </w:rPr>
        <w:t>Equal Opportunity &amp; Title IX Office</w:t>
      </w:r>
      <w:r>
        <w:rPr>
          <w:b w:val="0"/>
        </w:rPr>
        <w:t xml:space="preserve"> conducts investigations and informal problem-solving processes related to reported sexual harassment, sexual assault, stalking, relationship violence, and related retaliation.  </w:t>
      </w:r>
    </w:p>
    <w:p w14:paraId="7DACEF1C" w14:textId="77777777" w:rsidR="000C0EE8" w:rsidRPr="00334172" w:rsidRDefault="000C0EE8" w:rsidP="000C0EE8">
      <w:pPr>
        <w:pStyle w:val="Policyheading2"/>
        <w:numPr>
          <w:ilvl w:val="0"/>
          <w:numId w:val="1"/>
        </w:numPr>
        <w:spacing w:before="240" w:beforeAutospacing="0"/>
        <w:ind w:left="360"/>
        <w:rPr>
          <w:b w:val="0"/>
        </w:rPr>
      </w:pPr>
      <w:r w:rsidRPr="00313D14">
        <w:rPr>
          <w:b w:val="0"/>
          <w:szCs w:val="20"/>
        </w:rPr>
        <w:t xml:space="preserve">Complainants and respondents may be accompanied to meetings and hearings in </w:t>
      </w:r>
      <w:r>
        <w:rPr>
          <w:b w:val="0"/>
          <w:szCs w:val="20"/>
        </w:rPr>
        <w:t xml:space="preserve">a </w:t>
      </w:r>
      <w:proofErr w:type="gramStart"/>
      <w:r>
        <w:rPr>
          <w:b w:val="0"/>
          <w:szCs w:val="20"/>
        </w:rPr>
        <w:t>University</w:t>
      </w:r>
      <w:proofErr w:type="gramEnd"/>
      <w:r>
        <w:rPr>
          <w:b w:val="0"/>
          <w:szCs w:val="20"/>
        </w:rPr>
        <w:t xml:space="preserve"> response process </w:t>
      </w:r>
      <w:r w:rsidRPr="00313D14">
        <w:rPr>
          <w:b w:val="0"/>
          <w:szCs w:val="20"/>
        </w:rPr>
        <w:t>by: 1) an advisor of their choice; and 2) a support person who cannot be a fact witness in the case.  Other individuals may be permitted to attend these meetings or hearings to support a party for good reason, such as to accommodate a disability or a language need.</w:t>
      </w:r>
      <w:r w:rsidRPr="000F3A55">
        <w:rPr>
          <w:szCs w:val="20"/>
        </w:rPr>
        <w:t xml:space="preserve">  </w:t>
      </w:r>
    </w:p>
    <w:p w14:paraId="6E5E116F" w14:textId="3AA046D3" w:rsidR="000C0EE8" w:rsidRDefault="000C0EE8" w:rsidP="000C0EE8">
      <w:pPr>
        <w:pStyle w:val="Policyheading2"/>
        <w:numPr>
          <w:ilvl w:val="0"/>
          <w:numId w:val="1"/>
        </w:numPr>
        <w:spacing w:before="240" w:beforeAutospacing="0"/>
        <w:ind w:left="360"/>
        <w:rPr>
          <w:b w:val="0"/>
        </w:rPr>
      </w:pPr>
      <w:r w:rsidRPr="008D0CB4">
        <w:rPr>
          <w:b w:val="0"/>
        </w:rPr>
        <w:t xml:space="preserve">During </w:t>
      </w:r>
      <w:r>
        <w:rPr>
          <w:b w:val="0"/>
        </w:rPr>
        <w:t xml:space="preserve">a meeting with </w:t>
      </w:r>
      <w:r w:rsidR="0072781D">
        <w:rPr>
          <w:b w:val="0"/>
        </w:rPr>
        <w:t>Equal Opportunity &amp; Title IX</w:t>
      </w:r>
      <w:r>
        <w:rPr>
          <w:b w:val="0"/>
        </w:rPr>
        <w:t xml:space="preserve">, the </w:t>
      </w:r>
      <w:r w:rsidRPr="008D0CB4">
        <w:rPr>
          <w:b w:val="0"/>
        </w:rPr>
        <w:t>role</w:t>
      </w:r>
      <w:r>
        <w:rPr>
          <w:b w:val="0"/>
        </w:rPr>
        <w:t xml:space="preserve"> of an advisor or support person</w:t>
      </w:r>
      <w:r w:rsidRPr="008D0CB4">
        <w:rPr>
          <w:b w:val="0"/>
        </w:rPr>
        <w:t xml:space="preserve"> is to </w:t>
      </w:r>
      <w:r>
        <w:rPr>
          <w:b w:val="0"/>
        </w:rPr>
        <w:t>advise and/or support the party</w:t>
      </w:r>
      <w:r w:rsidRPr="008D0CB4">
        <w:rPr>
          <w:b w:val="0"/>
        </w:rPr>
        <w:t xml:space="preserve">, </w:t>
      </w:r>
      <w:r>
        <w:rPr>
          <w:b w:val="0"/>
        </w:rPr>
        <w:t xml:space="preserve">but </w:t>
      </w:r>
      <w:r w:rsidRPr="008D0CB4">
        <w:rPr>
          <w:b w:val="0"/>
        </w:rPr>
        <w:t>not to speak for them</w:t>
      </w:r>
      <w:r>
        <w:rPr>
          <w:b w:val="0"/>
        </w:rPr>
        <w:t xml:space="preserve">.  An advisor and support person may be present for </w:t>
      </w:r>
      <w:r w:rsidR="0072781D">
        <w:rPr>
          <w:b w:val="0"/>
        </w:rPr>
        <w:t xml:space="preserve">these </w:t>
      </w:r>
      <w:proofErr w:type="gramStart"/>
      <w:r>
        <w:rPr>
          <w:b w:val="0"/>
        </w:rPr>
        <w:t>meetings, but</w:t>
      </w:r>
      <w:proofErr w:type="gramEnd"/>
      <w:r>
        <w:rPr>
          <w:b w:val="0"/>
        </w:rPr>
        <w:t xml:space="preserve"> may not actively participate unless the </w:t>
      </w:r>
      <w:r w:rsidR="0072781D">
        <w:rPr>
          <w:b w:val="0"/>
        </w:rPr>
        <w:t xml:space="preserve">Equal Opportunity &amp; Title IX </w:t>
      </w:r>
      <w:r>
        <w:rPr>
          <w:b w:val="0"/>
        </w:rPr>
        <w:t>staff member invites them to do so.  This means, in part, that it is the party who is to provide information to and respond to questions from the staff member, and not the advisor or support person.  However, the staff member will generally invite an advisor or support person to ask any non-leading follow-up or clarifying questions of the party during the latter part of a meeting.</w:t>
      </w:r>
    </w:p>
    <w:p w14:paraId="29CFD0BA" w14:textId="17B1D992" w:rsidR="000C0EE8" w:rsidRDefault="000C0EE8" w:rsidP="000C0EE8">
      <w:pPr>
        <w:pStyle w:val="Policyheading2"/>
        <w:numPr>
          <w:ilvl w:val="0"/>
          <w:numId w:val="1"/>
        </w:numPr>
        <w:spacing w:before="240" w:beforeAutospacing="0"/>
        <w:ind w:left="360"/>
        <w:rPr>
          <w:b w:val="0"/>
        </w:rPr>
      </w:pPr>
      <w:r w:rsidRPr="008D0CB4">
        <w:rPr>
          <w:b w:val="0"/>
        </w:rPr>
        <w:t>Advisors</w:t>
      </w:r>
      <w:r>
        <w:rPr>
          <w:b w:val="0"/>
        </w:rPr>
        <w:t xml:space="preserve"> and support persons</w:t>
      </w:r>
      <w:r w:rsidRPr="008D0CB4">
        <w:rPr>
          <w:b w:val="0"/>
        </w:rPr>
        <w:t xml:space="preserve"> </w:t>
      </w:r>
      <w:r>
        <w:rPr>
          <w:b w:val="0"/>
        </w:rPr>
        <w:t>may</w:t>
      </w:r>
      <w:r w:rsidRPr="008D0CB4">
        <w:rPr>
          <w:b w:val="0"/>
        </w:rPr>
        <w:t xml:space="preserve"> attend </w:t>
      </w:r>
      <w:r>
        <w:rPr>
          <w:b w:val="0"/>
        </w:rPr>
        <w:t xml:space="preserve">meetings and hearings in a response process at the times that they have been scheduled.  </w:t>
      </w:r>
      <w:r w:rsidRPr="008D0CB4">
        <w:rPr>
          <w:b w:val="0"/>
        </w:rPr>
        <w:t xml:space="preserve">The University </w:t>
      </w:r>
      <w:r>
        <w:rPr>
          <w:b w:val="0"/>
        </w:rPr>
        <w:t xml:space="preserve">is </w:t>
      </w:r>
      <w:r w:rsidR="00F13415">
        <w:rPr>
          <w:b w:val="0"/>
        </w:rPr>
        <w:t xml:space="preserve">generally </w:t>
      </w:r>
      <w:r>
        <w:rPr>
          <w:b w:val="0"/>
        </w:rPr>
        <w:t xml:space="preserve">not obligated to accommodate advisors’ and support persons’ schedules or to </w:t>
      </w:r>
      <w:r w:rsidRPr="008D0CB4">
        <w:rPr>
          <w:b w:val="0"/>
        </w:rPr>
        <w:t>change scheduled meetings</w:t>
      </w:r>
      <w:r>
        <w:rPr>
          <w:b w:val="0"/>
        </w:rPr>
        <w:t xml:space="preserve"> or hearings </w:t>
      </w:r>
      <w:r w:rsidRPr="008D0CB4">
        <w:rPr>
          <w:b w:val="0"/>
        </w:rPr>
        <w:t xml:space="preserve">to accommodate </w:t>
      </w:r>
      <w:r>
        <w:rPr>
          <w:b w:val="0"/>
        </w:rPr>
        <w:t>advisor</w:t>
      </w:r>
      <w:r w:rsidRPr="008D0CB4">
        <w:rPr>
          <w:b w:val="0"/>
        </w:rPr>
        <w:t>s</w:t>
      </w:r>
      <w:r>
        <w:rPr>
          <w:b w:val="0"/>
        </w:rPr>
        <w:t>’</w:t>
      </w:r>
      <w:r w:rsidRPr="008D0CB4">
        <w:rPr>
          <w:b w:val="0"/>
        </w:rPr>
        <w:t xml:space="preserve"> </w:t>
      </w:r>
      <w:r>
        <w:rPr>
          <w:b w:val="0"/>
        </w:rPr>
        <w:t xml:space="preserve">or support persons’ </w:t>
      </w:r>
      <w:r w:rsidRPr="008D0CB4">
        <w:rPr>
          <w:b w:val="0"/>
        </w:rPr>
        <w:t>inability to attend.</w:t>
      </w:r>
      <w:r>
        <w:rPr>
          <w:b w:val="0"/>
        </w:rPr>
        <w:t xml:space="preserve">  </w:t>
      </w:r>
      <w:r w:rsidR="00F13415">
        <w:rPr>
          <w:b w:val="0"/>
        </w:rPr>
        <w:t xml:space="preserve">However, the University will reasonably accommodate the schedules of union representatives who are serving as advisors or support persons.  </w:t>
      </w:r>
      <w:r>
        <w:rPr>
          <w:b w:val="0"/>
        </w:rPr>
        <w:t>The</w:t>
      </w:r>
      <w:r w:rsidRPr="008D0CB4">
        <w:rPr>
          <w:b w:val="0"/>
        </w:rPr>
        <w:t xml:space="preserve"> University will </w:t>
      </w:r>
      <w:r>
        <w:rPr>
          <w:b w:val="0"/>
        </w:rPr>
        <w:t xml:space="preserve">generally allow advisors and support persons to attend meetings and hearings </w:t>
      </w:r>
      <w:r w:rsidRPr="008D0CB4">
        <w:rPr>
          <w:b w:val="0"/>
        </w:rPr>
        <w:t>by phone or video conferencing.</w:t>
      </w:r>
      <w:r>
        <w:rPr>
          <w:b w:val="0"/>
        </w:rPr>
        <w:t xml:space="preserve">  Complainants and respondents choosing an advisor or support person should consider their ability to attend meetings and/or hearings.  </w:t>
      </w:r>
    </w:p>
    <w:p w14:paraId="24873DB9" w14:textId="36C7B3FF" w:rsidR="000C0EE8" w:rsidRDefault="000C0EE8" w:rsidP="000C0EE8">
      <w:pPr>
        <w:pStyle w:val="Policyheading2"/>
        <w:numPr>
          <w:ilvl w:val="0"/>
          <w:numId w:val="1"/>
        </w:numPr>
        <w:spacing w:before="240" w:beforeAutospacing="0"/>
        <w:ind w:left="360"/>
        <w:rPr>
          <w:b w:val="0"/>
        </w:rPr>
      </w:pPr>
      <w:r>
        <w:rPr>
          <w:b w:val="0"/>
        </w:rPr>
        <w:t xml:space="preserve">Contact with </w:t>
      </w:r>
      <w:r w:rsidR="0072781D">
        <w:rPr>
          <w:b w:val="0"/>
        </w:rPr>
        <w:t>Equal Opportunity &amp; Title IX</w:t>
      </w:r>
      <w:r>
        <w:rPr>
          <w:b w:val="0"/>
        </w:rPr>
        <w:t xml:space="preserve"> </w:t>
      </w:r>
      <w:r w:rsidRPr="00A05CA6">
        <w:rPr>
          <w:b w:val="0"/>
        </w:rPr>
        <w:t xml:space="preserve">should be through the </w:t>
      </w:r>
      <w:r w:rsidRPr="008631AD">
        <w:rPr>
          <w:b w:val="0"/>
        </w:rPr>
        <w:t>complainant or respondent.</w:t>
      </w:r>
      <w:r>
        <w:rPr>
          <w:b w:val="0"/>
        </w:rPr>
        <w:t xml:space="preserve">  A</w:t>
      </w:r>
      <w:r w:rsidRPr="008631AD">
        <w:rPr>
          <w:b w:val="0"/>
        </w:rPr>
        <w:t>dvisors</w:t>
      </w:r>
      <w:r>
        <w:rPr>
          <w:b w:val="0"/>
        </w:rPr>
        <w:t xml:space="preserve"> and support persons</w:t>
      </w:r>
      <w:r w:rsidRPr="008631AD">
        <w:rPr>
          <w:b w:val="0"/>
        </w:rPr>
        <w:t xml:space="preserve"> should not directly contact </w:t>
      </w:r>
      <w:r w:rsidR="0072781D">
        <w:rPr>
          <w:b w:val="0"/>
        </w:rPr>
        <w:t>Equal Opportunity &amp; Title IX</w:t>
      </w:r>
      <w:r>
        <w:rPr>
          <w:b w:val="0"/>
        </w:rPr>
        <w:t xml:space="preserve"> </w:t>
      </w:r>
      <w:r w:rsidRPr="008631AD">
        <w:rPr>
          <w:b w:val="0"/>
        </w:rPr>
        <w:t>on behalf of a complainant</w:t>
      </w:r>
      <w:r>
        <w:rPr>
          <w:b w:val="0"/>
        </w:rPr>
        <w:t xml:space="preserve"> or respondent.</w:t>
      </w:r>
      <w:r>
        <w:rPr>
          <w:rStyle w:val="FootnoteReference"/>
          <w:b w:val="0"/>
        </w:rPr>
        <w:footnoteReference w:id="1"/>
      </w:r>
      <w:r>
        <w:rPr>
          <w:b w:val="0"/>
        </w:rPr>
        <w:t xml:space="preserve">  </w:t>
      </w:r>
      <w:r w:rsidRPr="00A05CA6">
        <w:rPr>
          <w:b w:val="0"/>
        </w:rPr>
        <w:t xml:space="preserve">An advisor </w:t>
      </w:r>
      <w:r>
        <w:rPr>
          <w:b w:val="0"/>
        </w:rPr>
        <w:t xml:space="preserve">or support person </w:t>
      </w:r>
      <w:r w:rsidRPr="00A05CA6">
        <w:rPr>
          <w:b w:val="0"/>
        </w:rPr>
        <w:t xml:space="preserve">who repeatedly contacts </w:t>
      </w:r>
      <w:r>
        <w:rPr>
          <w:b w:val="0"/>
        </w:rPr>
        <w:t>E</w:t>
      </w:r>
      <w:r w:rsidR="0072781D">
        <w:rPr>
          <w:b w:val="0"/>
        </w:rPr>
        <w:t>qual Opportunity &amp; T</w:t>
      </w:r>
      <w:r w:rsidR="007168D2">
        <w:rPr>
          <w:b w:val="0"/>
        </w:rPr>
        <w:t>itl</w:t>
      </w:r>
      <w:r w:rsidR="0072781D">
        <w:rPr>
          <w:b w:val="0"/>
        </w:rPr>
        <w:t xml:space="preserve">e IX </w:t>
      </w:r>
      <w:r w:rsidRPr="00A05CA6">
        <w:rPr>
          <w:b w:val="0"/>
        </w:rPr>
        <w:t xml:space="preserve">on behalf of a complainant or respondent </w:t>
      </w:r>
      <w:r>
        <w:rPr>
          <w:b w:val="0"/>
        </w:rPr>
        <w:t xml:space="preserve">may </w:t>
      </w:r>
      <w:r w:rsidRPr="00A05CA6">
        <w:rPr>
          <w:b w:val="0"/>
        </w:rPr>
        <w:t>not</w:t>
      </w:r>
      <w:r>
        <w:rPr>
          <w:b w:val="0"/>
        </w:rPr>
        <w:t xml:space="preserve"> be permitted to attend further meetings with this office.  </w:t>
      </w:r>
    </w:p>
    <w:p w14:paraId="7357A6FD" w14:textId="77777777" w:rsidR="000C0EE8" w:rsidRDefault="000C0EE8" w:rsidP="000C0EE8">
      <w:pPr>
        <w:pStyle w:val="Policyheading2"/>
        <w:numPr>
          <w:ilvl w:val="0"/>
          <w:numId w:val="1"/>
        </w:numPr>
        <w:spacing w:before="240" w:beforeAutospacing="0"/>
        <w:ind w:left="360"/>
        <w:rPr>
          <w:b w:val="0"/>
        </w:rPr>
      </w:pPr>
      <w:r>
        <w:rPr>
          <w:b w:val="0"/>
        </w:rPr>
        <w:lastRenderedPageBreak/>
        <w:t>Advisors and support persons may not contact potential witnesses for the purpose of influencing their testimony or discouraging their participation in the sexual misconduct processes.</w:t>
      </w:r>
    </w:p>
    <w:p w14:paraId="04AE2E60" w14:textId="77777777" w:rsidR="000C0EE8" w:rsidRPr="008D0CB4" w:rsidRDefault="000C0EE8" w:rsidP="000C0EE8">
      <w:pPr>
        <w:pStyle w:val="Policyheading2"/>
        <w:numPr>
          <w:ilvl w:val="0"/>
          <w:numId w:val="1"/>
        </w:numPr>
        <w:spacing w:before="240" w:beforeAutospacing="0"/>
        <w:ind w:left="360"/>
        <w:rPr>
          <w:b w:val="0"/>
        </w:rPr>
      </w:pPr>
      <w:r>
        <w:rPr>
          <w:b w:val="0"/>
        </w:rPr>
        <w:t xml:space="preserve">Advisors and support persons may not engage in conduct that is retaliatory.  An advisor’s or support person’s sharing of information about a response process, or distribution of information obtained in </w:t>
      </w:r>
      <w:proofErr w:type="gramStart"/>
      <w:r>
        <w:rPr>
          <w:b w:val="0"/>
        </w:rPr>
        <w:t>an</w:t>
      </w:r>
      <w:proofErr w:type="gramEnd"/>
      <w:r>
        <w:rPr>
          <w:b w:val="0"/>
        </w:rPr>
        <w:t xml:space="preserve"> response process, may in some cases constitute retaliation.</w:t>
      </w:r>
    </w:p>
    <w:p w14:paraId="2935D319" w14:textId="77777777" w:rsidR="000C0EE8" w:rsidRPr="008D0CB4" w:rsidRDefault="000C0EE8" w:rsidP="000C0EE8">
      <w:pPr>
        <w:pStyle w:val="Policyheading2"/>
        <w:numPr>
          <w:ilvl w:val="0"/>
          <w:numId w:val="1"/>
        </w:numPr>
        <w:spacing w:before="240" w:beforeAutospacing="0"/>
        <w:ind w:left="360"/>
        <w:rPr>
          <w:b w:val="0"/>
        </w:rPr>
      </w:pPr>
      <w:r w:rsidRPr="008D0CB4">
        <w:rPr>
          <w:b w:val="0"/>
        </w:rPr>
        <w:t xml:space="preserve">Advisors </w:t>
      </w:r>
      <w:r>
        <w:rPr>
          <w:b w:val="0"/>
        </w:rPr>
        <w:t xml:space="preserve">and support persons </w:t>
      </w:r>
      <w:r w:rsidRPr="008D0CB4">
        <w:rPr>
          <w:b w:val="0"/>
        </w:rPr>
        <w:t>are expected to a</w:t>
      </w:r>
      <w:r>
        <w:rPr>
          <w:b w:val="0"/>
        </w:rPr>
        <w:t xml:space="preserve">ct </w:t>
      </w:r>
      <w:r w:rsidRPr="008D0CB4">
        <w:rPr>
          <w:b w:val="0"/>
        </w:rPr>
        <w:t>with integrity and in good faith</w:t>
      </w:r>
      <w:r>
        <w:rPr>
          <w:b w:val="0"/>
        </w:rPr>
        <w:t xml:space="preserve"> in a response process</w:t>
      </w:r>
      <w:r w:rsidRPr="008D0CB4">
        <w:rPr>
          <w:b w:val="0"/>
        </w:rPr>
        <w:t xml:space="preserve">.  </w:t>
      </w:r>
    </w:p>
    <w:p w14:paraId="10F01EBB" w14:textId="77777777" w:rsidR="000C0EE8" w:rsidRDefault="000C0EE8" w:rsidP="000C0EE8">
      <w:pPr>
        <w:pStyle w:val="Policyheading2"/>
        <w:numPr>
          <w:ilvl w:val="0"/>
          <w:numId w:val="1"/>
        </w:numPr>
        <w:spacing w:before="240" w:beforeAutospacing="0"/>
        <w:ind w:left="360"/>
        <w:rPr>
          <w:b w:val="0"/>
        </w:rPr>
      </w:pPr>
      <w:r w:rsidRPr="008D0CB4">
        <w:rPr>
          <w:b w:val="0"/>
        </w:rPr>
        <w:t xml:space="preserve">Advisors </w:t>
      </w:r>
      <w:r>
        <w:rPr>
          <w:b w:val="0"/>
        </w:rPr>
        <w:t xml:space="preserve">and support persons </w:t>
      </w:r>
      <w:r w:rsidRPr="008D0CB4">
        <w:rPr>
          <w:b w:val="0"/>
        </w:rPr>
        <w:t>who disrupt or fail to respect the limits of the advisor</w:t>
      </w:r>
      <w:r>
        <w:rPr>
          <w:b w:val="0"/>
        </w:rPr>
        <w:t xml:space="preserve"> and support person</w:t>
      </w:r>
      <w:r w:rsidRPr="008D0CB4">
        <w:rPr>
          <w:b w:val="0"/>
        </w:rPr>
        <w:t xml:space="preserve"> role</w:t>
      </w:r>
      <w:r>
        <w:rPr>
          <w:b w:val="0"/>
        </w:rPr>
        <w:t>s</w:t>
      </w:r>
      <w:r w:rsidRPr="008D0CB4">
        <w:rPr>
          <w:b w:val="0"/>
        </w:rPr>
        <w:t xml:space="preserve"> </w:t>
      </w:r>
      <w:r>
        <w:rPr>
          <w:b w:val="0"/>
        </w:rPr>
        <w:t xml:space="preserve">as described in this document </w:t>
      </w:r>
      <w:r w:rsidRPr="008D0CB4">
        <w:rPr>
          <w:b w:val="0"/>
        </w:rPr>
        <w:t>will be asked to leave</w:t>
      </w:r>
      <w:r>
        <w:rPr>
          <w:b w:val="0"/>
        </w:rPr>
        <w:t xml:space="preserve"> (or not attend)</w:t>
      </w:r>
      <w:r w:rsidRPr="008D0CB4">
        <w:rPr>
          <w:b w:val="0"/>
        </w:rPr>
        <w:t xml:space="preserve"> meeting</w:t>
      </w:r>
      <w:r>
        <w:rPr>
          <w:b w:val="0"/>
        </w:rPr>
        <w:t>s</w:t>
      </w:r>
      <w:r w:rsidRPr="008D0CB4">
        <w:rPr>
          <w:b w:val="0"/>
        </w:rPr>
        <w:t xml:space="preserve"> or </w:t>
      </w:r>
      <w:r>
        <w:rPr>
          <w:b w:val="0"/>
        </w:rPr>
        <w:t>hearings</w:t>
      </w:r>
      <w:r w:rsidRPr="008D0CB4">
        <w:rPr>
          <w:b w:val="0"/>
        </w:rPr>
        <w:t xml:space="preserve">.  In these situations, the meeting or </w:t>
      </w:r>
      <w:r>
        <w:rPr>
          <w:b w:val="0"/>
        </w:rPr>
        <w:t>hearing</w:t>
      </w:r>
      <w:r w:rsidRPr="008D0CB4">
        <w:rPr>
          <w:b w:val="0"/>
        </w:rPr>
        <w:t xml:space="preserve"> will typically </w:t>
      </w:r>
      <w:r>
        <w:rPr>
          <w:b w:val="0"/>
        </w:rPr>
        <w:t xml:space="preserve">proceed </w:t>
      </w:r>
      <w:r w:rsidRPr="008D0CB4">
        <w:rPr>
          <w:b w:val="0"/>
        </w:rPr>
        <w:t xml:space="preserve">without the advisor </w:t>
      </w:r>
      <w:r>
        <w:rPr>
          <w:b w:val="0"/>
        </w:rPr>
        <w:t xml:space="preserve">or support person </w:t>
      </w:r>
      <w:r w:rsidRPr="008D0CB4">
        <w:rPr>
          <w:b w:val="0"/>
        </w:rPr>
        <w:t>present.  The Title IX Coordinator</w:t>
      </w:r>
      <w:r>
        <w:rPr>
          <w:b w:val="0"/>
        </w:rPr>
        <w:t xml:space="preserve"> or a designee</w:t>
      </w:r>
      <w:r w:rsidRPr="008D0CB4">
        <w:rPr>
          <w:b w:val="0"/>
        </w:rPr>
        <w:t xml:space="preserve"> will determine whether the advisor </w:t>
      </w:r>
      <w:r>
        <w:rPr>
          <w:b w:val="0"/>
        </w:rPr>
        <w:t>or support person will be permitted to attend further meetings or hearings that are part of the response process</w:t>
      </w:r>
      <w:r w:rsidRPr="008D0CB4">
        <w:rPr>
          <w:b w:val="0"/>
        </w:rPr>
        <w:t>.</w:t>
      </w:r>
    </w:p>
    <w:p w14:paraId="66D7ABB2" w14:textId="77777777" w:rsidR="000C0EE8" w:rsidRDefault="000C0EE8" w:rsidP="000C0EE8">
      <w:pPr>
        <w:pStyle w:val="Policyheading2"/>
        <w:numPr>
          <w:ilvl w:val="0"/>
          <w:numId w:val="1"/>
        </w:numPr>
        <w:spacing w:before="240" w:beforeAutospacing="0"/>
        <w:ind w:left="360"/>
        <w:rPr>
          <w:b w:val="0"/>
        </w:rPr>
      </w:pPr>
      <w:r>
        <w:rPr>
          <w:b w:val="0"/>
        </w:rPr>
        <w:t xml:space="preserve">Advisors and support persons may be provided otherwise confidential information in the course of a response </w:t>
      </w:r>
      <w:proofErr w:type="gramStart"/>
      <w:r>
        <w:rPr>
          <w:b w:val="0"/>
        </w:rPr>
        <w:t>process, and</w:t>
      </w:r>
      <w:proofErr w:type="gramEnd"/>
      <w:r>
        <w:rPr>
          <w:b w:val="0"/>
        </w:rPr>
        <w:t xml:space="preserve"> agree to maintain the confidentiality of such information and to not disclose such information other than for purposes of serving as an advisor or support person to the party during the response process.</w:t>
      </w:r>
    </w:p>
    <w:p w14:paraId="7AE2BB9B" w14:textId="77777777" w:rsidR="000C0EE8" w:rsidRPr="002B03C6" w:rsidRDefault="000C0EE8" w:rsidP="000C0EE8">
      <w:pPr>
        <w:pStyle w:val="Policyheading2"/>
        <w:numPr>
          <w:ilvl w:val="0"/>
          <w:numId w:val="1"/>
        </w:numPr>
        <w:spacing w:before="240" w:beforeAutospacing="0"/>
        <w:ind w:left="360"/>
        <w:rPr>
          <w:b w:val="0"/>
          <w:bCs/>
        </w:rPr>
      </w:pPr>
      <w:r w:rsidRPr="002B03C6">
        <w:rPr>
          <w:b w:val="0"/>
          <w:bCs/>
          <w:color w:val="222222"/>
          <w:shd w:val="clear" w:color="auto" w:fill="FFFFFF"/>
        </w:rPr>
        <w:t>Parties can change their designated advisor and support person at any time.  However, a party can only have one designated advisor and one designated support person at a time.  Each advisor and support person must sign this form.</w:t>
      </w:r>
    </w:p>
    <w:p w14:paraId="67441162" w14:textId="77777777" w:rsidR="000C0EE8" w:rsidRDefault="000C0EE8" w:rsidP="000C0EE8">
      <w:pPr>
        <w:pStyle w:val="Policyheading2"/>
        <w:spacing w:before="240" w:beforeAutospacing="0"/>
      </w:pPr>
      <w:r>
        <w:t>By signing this form, I agree to abide by these terms.</w:t>
      </w:r>
    </w:p>
    <w:p w14:paraId="395BC1FB" w14:textId="77777777" w:rsidR="000C0EE8" w:rsidRDefault="000C0EE8" w:rsidP="000C0EE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fldChar w:fldCharType="begin">
          <w:ffData>
            <w:name w:val="Check1"/>
            <w:enabled/>
            <w:calcOnExit w:val="0"/>
            <w:checkBox>
              <w:sizeAuto/>
              <w:default w:val="0"/>
            </w:checkBox>
          </w:ffData>
        </w:fldChar>
      </w:r>
      <w:bookmarkStart w:id="0" w:name="Check1"/>
      <w:r>
        <w:rPr>
          <w:rFonts w:ascii="Arial" w:eastAsia="Times New Roman" w:hAnsi="Arial" w:cs="Arial"/>
          <w:color w:val="222222"/>
          <w:sz w:val="24"/>
          <w:szCs w:val="24"/>
        </w:rPr>
        <w:instrText xml:space="preserve"> FORMCHECKBOX </w:instrText>
      </w:r>
      <w:r w:rsidR="00000000">
        <w:rPr>
          <w:rFonts w:ascii="Arial" w:eastAsia="Times New Roman" w:hAnsi="Arial" w:cs="Arial"/>
          <w:color w:val="222222"/>
          <w:sz w:val="24"/>
          <w:szCs w:val="24"/>
        </w:rPr>
      </w:r>
      <w:r w:rsidR="00000000">
        <w:rPr>
          <w:rFonts w:ascii="Arial" w:eastAsia="Times New Roman" w:hAnsi="Arial" w:cs="Arial"/>
          <w:color w:val="222222"/>
          <w:sz w:val="24"/>
          <w:szCs w:val="24"/>
        </w:rPr>
        <w:fldChar w:fldCharType="separate"/>
      </w:r>
      <w:r>
        <w:rPr>
          <w:rFonts w:ascii="Arial" w:eastAsia="Times New Roman" w:hAnsi="Arial" w:cs="Arial"/>
          <w:color w:val="222222"/>
          <w:sz w:val="24"/>
          <w:szCs w:val="24"/>
        </w:rPr>
        <w:fldChar w:fldCharType="end"/>
      </w:r>
      <w:bookmarkEnd w:id="0"/>
      <w:r>
        <w:rPr>
          <w:rFonts w:ascii="Arial" w:eastAsia="Times New Roman" w:hAnsi="Arial" w:cs="Arial"/>
          <w:color w:val="222222"/>
          <w:sz w:val="24"/>
          <w:szCs w:val="24"/>
        </w:rPr>
        <w:t xml:space="preserve">  </w:t>
      </w:r>
      <w:r w:rsidRPr="003E0A95">
        <w:rPr>
          <w:rFonts w:ascii="Arial" w:eastAsia="Times New Roman" w:hAnsi="Arial" w:cs="Arial"/>
          <w:color w:val="222222"/>
          <w:sz w:val="24"/>
          <w:szCs w:val="24"/>
        </w:rPr>
        <w:t>I am an advisor (I understand that, as an advisor, I will receive access to the evidence directly related to the allegations as set forth in the policy)</w:t>
      </w:r>
    </w:p>
    <w:p w14:paraId="102D8ACF" w14:textId="77777777" w:rsidR="000C0EE8" w:rsidRPr="003E0A95" w:rsidRDefault="000C0EE8" w:rsidP="000C0EE8">
      <w:pPr>
        <w:shd w:val="clear" w:color="auto" w:fill="FFFFFF"/>
        <w:spacing w:after="0" w:line="240" w:lineRule="auto"/>
        <w:rPr>
          <w:rFonts w:ascii="Arial" w:eastAsia="Times New Roman" w:hAnsi="Arial" w:cs="Arial"/>
          <w:color w:val="222222"/>
          <w:sz w:val="24"/>
          <w:szCs w:val="24"/>
        </w:rPr>
      </w:pPr>
    </w:p>
    <w:p w14:paraId="3E32EBC2" w14:textId="77777777" w:rsidR="000C0EE8" w:rsidRPr="003E0A95" w:rsidRDefault="000C0EE8" w:rsidP="000C0EE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fldChar w:fldCharType="begin">
          <w:ffData>
            <w:name w:val="Check2"/>
            <w:enabled/>
            <w:calcOnExit w:val="0"/>
            <w:checkBox>
              <w:sizeAuto/>
              <w:default w:val="0"/>
            </w:checkBox>
          </w:ffData>
        </w:fldChar>
      </w:r>
      <w:bookmarkStart w:id="1" w:name="Check2"/>
      <w:r>
        <w:rPr>
          <w:rFonts w:ascii="Arial" w:eastAsia="Times New Roman" w:hAnsi="Arial" w:cs="Arial"/>
          <w:color w:val="222222"/>
          <w:sz w:val="24"/>
          <w:szCs w:val="24"/>
        </w:rPr>
        <w:instrText xml:space="preserve"> FORMCHECKBOX </w:instrText>
      </w:r>
      <w:r w:rsidR="00000000">
        <w:rPr>
          <w:rFonts w:ascii="Arial" w:eastAsia="Times New Roman" w:hAnsi="Arial" w:cs="Arial"/>
          <w:color w:val="222222"/>
          <w:sz w:val="24"/>
          <w:szCs w:val="24"/>
        </w:rPr>
      </w:r>
      <w:r w:rsidR="00000000">
        <w:rPr>
          <w:rFonts w:ascii="Arial" w:eastAsia="Times New Roman" w:hAnsi="Arial" w:cs="Arial"/>
          <w:color w:val="222222"/>
          <w:sz w:val="24"/>
          <w:szCs w:val="24"/>
        </w:rPr>
        <w:fldChar w:fldCharType="separate"/>
      </w:r>
      <w:r>
        <w:rPr>
          <w:rFonts w:ascii="Arial" w:eastAsia="Times New Roman" w:hAnsi="Arial" w:cs="Arial"/>
          <w:color w:val="222222"/>
          <w:sz w:val="24"/>
          <w:szCs w:val="24"/>
        </w:rPr>
        <w:fldChar w:fldCharType="end"/>
      </w:r>
      <w:bookmarkEnd w:id="1"/>
      <w:r>
        <w:rPr>
          <w:rFonts w:ascii="Arial" w:eastAsia="Times New Roman" w:hAnsi="Arial" w:cs="Arial"/>
          <w:color w:val="222222"/>
          <w:sz w:val="24"/>
          <w:szCs w:val="24"/>
        </w:rPr>
        <w:t xml:space="preserve">  </w:t>
      </w:r>
      <w:r w:rsidRPr="003E0A95">
        <w:rPr>
          <w:rFonts w:ascii="Arial" w:eastAsia="Times New Roman" w:hAnsi="Arial" w:cs="Arial"/>
          <w:color w:val="222222"/>
          <w:sz w:val="24"/>
          <w:szCs w:val="24"/>
        </w:rPr>
        <w:t>I am a support person (I understand that, as a support person, I will not receive access to the evidence directly related to the allegations)</w:t>
      </w:r>
    </w:p>
    <w:p w14:paraId="428B5309" w14:textId="77777777" w:rsidR="000C0EE8" w:rsidRDefault="000C0EE8" w:rsidP="000C0EE8">
      <w:pPr>
        <w:pStyle w:val="Policyheading2"/>
        <w:spacing w:before="240" w:beforeAutospacing="0"/>
      </w:pPr>
    </w:p>
    <w:p w14:paraId="75FD46C6" w14:textId="77777777" w:rsidR="000C0EE8" w:rsidRDefault="000C0EE8" w:rsidP="000C0EE8">
      <w:pPr>
        <w:pStyle w:val="Policyheading2"/>
        <w:spacing w:before="0" w:beforeAutospacing="0" w:after="0"/>
      </w:pPr>
      <w:r>
        <w:t xml:space="preserve">_____________________________________                     </w:t>
      </w:r>
      <w:r>
        <w:tab/>
        <w:t>__________________</w:t>
      </w:r>
    </w:p>
    <w:p w14:paraId="10911737" w14:textId="77777777" w:rsidR="000C0EE8" w:rsidRDefault="000C0EE8" w:rsidP="000C0EE8">
      <w:pPr>
        <w:pStyle w:val="Policyheading2"/>
        <w:spacing w:before="0" w:beforeAutospacing="0" w:after="0"/>
      </w:pPr>
      <w:r>
        <w:t>Signature of Advisor/Support Person</w:t>
      </w:r>
      <w:r>
        <w:tab/>
      </w:r>
      <w:r>
        <w:tab/>
      </w:r>
      <w:r>
        <w:tab/>
      </w:r>
      <w:r>
        <w:tab/>
        <w:t>Date</w:t>
      </w:r>
    </w:p>
    <w:p w14:paraId="29344112" w14:textId="77777777" w:rsidR="000C0EE8" w:rsidRDefault="000C0EE8" w:rsidP="000C0EE8">
      <w:pPr>
        <w:pStyle w:val="Policyheading2"/>
        <w:spacing w:before="0" w:beforeAutospacing="0" w:after="0"/>
      </w:pPr>
    </w:p>
    <w:p w14:paraId="54B109D5" w14:textId="77777777" w:rsidR="000C0EE8" w:rsidRDefault="000C0EE8" w:rsidP="000C0EE8">
      <w:pPr>
        <w:pStyle w:val="Policyheading2"/>
        <w:spacing w:before="0" w:beforeAutospacing="0" w:after="0"/>
      </w:pPr>
    </w:p>
    <w:p w14:paraId="26D3165C" w14:textId="77777777" w:rsidR="000C0EE8" w:rsidRDefault="000C0EE8" w:rsidP="000C0EE8">
      <w:pPr>
        <w:pStyle w:val="Policyheading2"/>
        <w:spacing w:before="0" w:beforeAutospacing="0" w:after="0"/>
      </w:pPr>
      <w:r>
        <w:t>_____________________________________</w:t>
      </w:r>
    </w:p>
    <w:p w14:paraId="0B0D8311" w14:textId="77777777" w:rsidR="000C0EE8" w:rsidRDefault="000C0EE8" w:rsidP="000C0EE8">
      <w:pPr>
        <w:pStyle w:val="Policyheading2"/>
        <w:spacing w:before="0" w:beforeAutospacing="0" w:after="0"/>
      </w:pPr>
      <w:r>
        <w:t>Email Address of Advisor/Support Person</w:t>
      </w:r>
    </w:p>
    <w:p w14:paraId="2069ED22" w14:textId="77777777" w:rsidR="000C0EE8" w:rsidRDefault="000C0EE8" w:rsidP="000C0EE8">
      <w:pPr>
        <w:pStyle w:val="Policyheading2"/>
        <w:spacing w:before="0" w:beforeAutospacing="0" w:after="0"/>
      </w:pPr>
    </w:p>
    <w:p w14:paraId="1ABAEF8B" w14:textId="77777777" w:rsidR="000C0EE8" w:rsidRDefault="000C0EE8" w:rsidP="000C0EE8">
      <w:pPr>
        <w:pStyle w:val="Policyheading2"/>
        <w:spacing w:before="0" w:beforeAutospacing="0" w:after="0"/>
      </w:pPr>
    </w:p>
    <w:p w14:paraId="10847832" w14:textId="77777777" w:rsidR="000C0EE8" w:rsidRDefault="000C0EE8" w:rsidP="000C0EE8">
      <w:pPr>
        <w:pStyle w:val="Policyheading2"/>
        <w:spacing w:before="0" w:beforeAutospacing="0" w:after="0"/>
      </w:pPr>
      <w:r>
        <w:t xml:space="preserve">_____________________________________                     </w:t>
      </w:r>
      <w:r>
        <w:tab/>
        <w:t>__________________</w:t>
      </w:r>
    </w:p>
    <w:p w14:paraId="4503E1B1" w14:textId="77777777" w:rsidR="000C0EE8" w:rsidRDefault="000C0EE8" w:rsidP="000C0EE8">
      <w:pPr>
        <w:pStyle w:val="Policyheading2"/>
        <w:spacing w:before="0" w:beforeAutospacing="0" w:after="0"/>
      </w:pPr>
      <w:r>
        <w:t>Signature of Party</w:t>
      </w:r>
      <w:r>
        <w:tab/>
      </w:r>
      <w:r>
        <w:tab/>
      </w:r>
      <w:r>
        <w:tab/>
      </w:r>
      <w:r>
        <w:tab/>
      </w:r>
      <w:r>
        <w:tab/>
      </w:r>
      <w:r>
        <w:tab/>
        <w:t>Date</w:t>
      </w:r>
    </w:p>
    <w:p w14:paraId="04F4AB5C" w14:textId="77777777" w:rsidR="000C0EE8" w:rsidRDefault="000C0EE8"/>
    <w:sectPr w:rsidR="000C0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8449" w14:textId="77777777" w:rsidR="0022023E" w:rsidRDefault="0022023E" w:rsidP="000C0EE8">
      <w:pPr>
        <w:spacing w:after="0" w:line="240" w:lineRule="auto"/>
      </w:pPr>
      <w:r>
        <w:separator/>
      </w:r>
    </w:p>
  </w:endnote>
  <w:endnote w:type="continuationSeparator" w:id="0">
    <w:p w14:paraId="0DCF59BA" w14:textId="77777777" w:rsidR="0022023E" w:rsidRDefault="0022023E" w:rsidP="000C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CCBB" w14:textId="77777777" w:rsidR="0022023E" w:rsidRDefault="0022023E" w:rsidP="000C0EE8">
      <w:pPr>
        <w:spacing w:after="0" w:line="240" w:lineRule="auto"/>
      </w:pPr>
      <w:r>
        <w:separator/>
      </w:r>
    </w:p>
  </w:footnote>
  <w:footnote w:type="continuationSeparator" w:id="0">
    <w:p w14:paraId="5895B722" w14:textId="77777777" w:rsidR="0022023E" w:rsidRDefault="0022023E" w:rsidP="000C0EE8">
      <w:pPr>
        <w:spacing w:after="0" w:line="240" w:lineRule="auto"/>
      </w:pPr>
      <w:r>
        <w:continuationSeparator/>
      </w:r>
    </w:p>
  </w:footnote>
  <w:footnote w:id="1">
    <w:p w14:paraId="29A4DCE5" w14:textId="77777777" w:rsidR="000C0EE8" w:rsidRDefault="000C0EE8" w:rsidP="000C0EE8">
      <w:pPr>
        <w:pStyle w:val="FootnoteText"/>
        <w:ind w:left="180" w:hanging="180"/>
      </w:pPr>
      <w:r w:rsidRPr="00753B50">
        <w:rPr>
          <w:rStyle w:val="FootnoteReference"/>
        </w:rPr>
        <w:footnoteRef/>
      </w:r>
      <w:r w:rsidRPr="00753B50">
        <w:t xml:space="preserve"> </w:t>
      </w:r>
      <w:r>
        <w:t xml:space="preserve"> </w:t>
      </w:r>
      <w:r w:rsidRPr="00C61F39">
        <w:rPr>
          <w:rFonts w:ascii="Arial" w:hAnsi="Arial" w:cs="Arial"/>
          <w:sz w:val="20"/>
          <w:szCs w:val="20"/>
        </w:rPr>
        <w:t xml:space="preserve">On the Twin Cities campus, advisors from the </w:t>
      </w:r>
      <w:r>
        <w:rPr>
          <w:rFonts w:ascii="Arial" w:hAnsi="Arial" w:cs="Arial"/>
          <w:sz w:val="20"/>
          <w:szCs w:val="20"/>
        </w:rPr>
        <w:t xml:space="preserve">Student Advocate Services Office </w:t>
      </w:r>
      <w:r w:rsidRPr="00C61F39">
        <w:rPr>
          <w:rFonts w:ascii="Arial" w:hAnsi="Arial" w:cs="Arial"/>
          <w:sz w:val="20"/>
          <w:szCs w:val="20"/>
        </w:rPr>
        <w:t>and The Aurora Center are excepted from this requirement.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6D9"/>
    <w:multiLevelType w:val="hybridMultilevel"/>
    <w:tmpl w:val="78E8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0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E8"/>
    <w:rsid w:val="000B6DD1"/>
    <w:rsid w:val="000C0EE8"/>
    <w:rsid w:val="0022023E"/>
    <w:rsid w:val="004308F9"/>
    <w:rsid w:val="004321A6"/>
    <w:rsid w:val="00536748"/>
    <w:rsid w:val="005E18FB"/>
    <w:rsid w:val="007168D2"/>
    <w:rsid w:val="0072781D"/>
    <w:rsid w:val="00921E44"/>
    <w:rsid w:val="00974B55"/>
    <w:rsid w:val="00C42258"/>
    <w:rsid w:val="00CF73E7"/>
    <w:rsid w:val="00F13415"/>
    <w:rsid w:val="00F7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2631"/>
  <w15:chartTrackingRefBased/>
  <w15:docId w15:val="{4DE25245-8A49-4BA1-AFFC-37452BCF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0EE8"/>
    <w:rPr>
      <w:kern w:val="0"/>
      <w14:ligatures w14:val="none"/>
    </w:rPr>
  </w:style>
  <w:style w:type="paragraph" w:styleId="Heading1">
    <w:name w:val="heading 1"/>
    <w:basedOn w:val="Policyheading1"/>
    <w:next w:val="Normal"/>
    <w:link w:val="Heading1Char"/>
    <w:uiPriority w:val="9"/>
    <w:qFormat/>
    <w:rsid w:val="000C0EE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2">
    <w:name w:val="Policy heading 2"/>
    <w:basedOn w:val="Normal"/>
    <w:link w:val="Policyheading2Char"/>
    <w:qFormat/>
    <w:rsid w:val="000C0EE8"/>
    <w:pPr>
      <w:spacing w:before="100" w:beforeAutospacing="1" w:after="120" w:line="240" w:lineRule="auto"/>
    </w:pPr>
    <w:rPr>
      <w:rFonts w:ascii="Arial" w:eastAsia="Times New Roman" w:hAnsi="Arial" w:cs="Arial"/>
      <w:b/>
      <w:color w:val="000000" w:themeColor="text1"/>
      <w:sz w:val="20"/>
      <w:szCs w:val="16"/>
    </w:rPr>
  </w:style>
  <w:style w:type="paragraph" w:customStyle="1" w:styleId="Policyheading1">
    <w:name w:val="Policy heading 1"/>
    <w:basedOn w:val="Normal"/>
    <w:link w:val="Policyheading1Char"/>
    <w:qFormat/>
    <w:rsid w:val="000C0EE8"/>
    <w:pPr>
      <w:spacing w:after="120"/>
    </w:pPr>
    <w:rPr>
      <w:rFonts w:ascii="Georgia" w:hAnsi="Georgia"/>
      <w:sz w:val="44"/>
      <w:szCs w:val="44"/>
    </w:rPr>
  </w:style>
  <w:style w:type="character" w:customStyle="1" w:styleId="Policyheading2Char">
    <w:name w:val="Policy heading 2 Char"/>
    <w:basedOn w:val="DefaultParagraphFont"/>
    <w:link w:val="Policyheading2"/>
    <w:rsid w:val="000C0EE8"/>
    <w:rPr>
      <w:rFonts w:ascii="Arial" w:eastAsia="Times New Roman" w:hAnsi="Arial" w:cs="Arial"/>
      <w:b/>
      <w:color w:val="000000" w:themeColor="text1"/>
      <w:kern w:val="0"/>
      <w:sz w:val="20"/>
      <w:szCs w:val="16"/>
      <w14:ligatures w14:val="none"/>
    </w:rPr>
  </w:style>
  <w:style w:type="character" w:customStyle="1" w:styleId="Policyheading1Char">
    <w:name w:val="Policy heading 1 Char"/>
    <w:basedOn w:val="DefaultParagraphFont"/>
    <w:link w:val="Policyheading1"/>
    <w:rsid w:val="000C0EE8"/>
    <w:rPr>
      <w:rFonts w:ascii="Georgia" w:hAnsi="Georgia"/>
      <w:kern w:val="0"/>
      <w:sz w:val="44"/>
      <w:szCs w:val="44"/>
      <w14:ligatures w14:val="none"/>
    </w:rPr>
  </w:style>
  <w:style w:type="paragraph" w:styleId="FootnoteText">
    <w:name w:val="footnote text"/>
    <w:basedOn w:val="Normal"/>
    <w:link w:val="FootnoteTextChar"/>
    <w:uiPriority w:val="99"/>
    <w:unhideWhenUsed/>
    <w:rsid w:val="000C0EE8"/>
    <w:pPr>
      <w:spacing w:after="0" w:line="240" w:lineRule="auto"/>
    </w:pPr>
    <w:rPr>
      <w:sz w:val="24"/>
      <w:szCs w:val="24"/>
    </w:rPr>
  </w:style>
  <w:style w:type="character" w:customStyle="1" w:styleId="FootnoteTextChar">
    <w:name w:val="Footnote Text Char"/>
    <w:basedOn w:val="DefaultParagraphFont"/>
    <w:link w:val="FootnoteText"/>
    <w:uiPriority w:val="99"/>
    <w:rsid w:val="000C0EE8"/>
    <w:rPr>
      <w:kern w:val="0"/>
      <w:sz w:val="24"/>
      <w:szCs w:val="24"/>
      <w14:ligatures w14:val="none"/>
    </w:rPr>
  </w:style>
  <w:style w:type="character" w:styleId="FootnoteReference">
    <w:name w:val="footnote reference"/>
    <w:basedOn w:val="DefaultParagraphFont"/>
    <w:uiPriority w:val="99"/>
    <w:unhideWhenUsed/>
    <w:rsid w:val="000C0EE8"/>
    <w:rPr>
      <w:vertAlign w:val="superscript"/>
    </w:rPr>
  </w:style>
  <w:style w:type="character" w:customStyle="1" w:styleId="Heading1Char">
    <w:name w:val="Heading 1 Char"/>
    <w:basedOn w:val="DefaultParagraphFont"/>
    <w:link w:val="Heading1"/>
    <w:uiPriority w:val="9"/>
    <w:rsid w:val="000C0EE8"/>
    <w:rPr>
      <w:rFonts w:ascii="Georgia" w:hAnsi="Georgia"/>
      <w:kern w:val="0"/>
      <w:sz w:val="44"/>
      <w:szCs w:val="44"/>
      <w14:ligatures w14:val="none"/>
    </w:rPr>
  </w:style>
  <w:style w:type="paragraph" w:styleId="Revision">
    <w:name w:val="Revision"/>
    <w:hidden/>
    <w:uiPriority w:val="99"/>
    <w:semiHidden/>
    <w:rsid w:val="00F1341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young041@umn.edu</dc:creator>
  <cp:keywords/>
  <dc:description/>
  <cp:lastModifiedBy>Eva C Young</cp:lastModifiedBy>
  <cp:revision>3</cp:revision>
  <cp:lastPrinted>2023-12-05T21:37:00Z</cp:lastPrinted>
  <dcterms:created xsi:type="dcterms:W3CDTF">2023-12-06T15:53:00Z</dcterms:created>
  <dcterms:modified xsi:type="dcterms:W3CDTF">2023-12-06T15:53:00Z</dcterms:modified>
</cp:coreProperties>
</file>