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83" w:rsidRPr="00267B04" w:rsidRDefault="00703183" w:rsidP="00703183">
      <w:pPr>
        <w:jc w:val="center"/>
        <w:rPr>
          <w:rFonts w:ascii="Times New Roman" w:hAnsi="Times New Roman" w:cs="Times New Roman"/>
          <w:b/>
          <w:sz w:val="40"/>
          <w:szCs w:val="32"/>
        </w:rPr>
      </w:pPr>
      <w:bookmarkStart w:id="0" w:name="_GoBack"/>
      <w:bookmarkEnd w:id="0"/>
      <w:r w:rsidRPr="00267B04">
        <w:rPr>
          <w:rFonts w:ascii="Times New Roman" w:hAnsi="Times New Roman" w:cs="Times New Roman"/>
          <w:b/>
          <w:sz w:val="40"/>
          <w:szCs w:val="32"/>
        </w:rPr>
        <w:t>Instructions</w:t>
      </w:r>
    </w:p>
    <w:p w:rsidR="00703183" w:rsidRPr="00267B04" w:rsidRDefault="00703183" w:rsidP="00703183">
      <w:pPr>
        <w:jc w:val="center"/>
        <w:rPr>
          <w:rFonts w:ascii="Times New Roman" w:hAnsi="Times New Roman" w:cs="Times New Roman"/>
          <w:b/>
          <w:sz w:val="40"/>
          <w:szCs w:val="32"/>
        </w:rPr>
      </w:pPr>
      <w:proofErr w:type="gramStart"/>
      <w:r w:rsidRPr="00267B04">
        <w:rPr>
          <w:rFonts w:ascii="Times New Roman" w:hAnsi="Times New Roman" w:cs="Times New Roman"/>
          <w:b/>
          <w:sz w:val="40"/>
          <w:szCs w:val="32"/>
        </w:rPr>
        <w:t>for</w:t>
      </w:r>
      <w:proofErr w:type="gramEnd"/>
    </w:p>
    <w:p w:rsidR="00703183" w:rsidRPr="00267B04" w:rsidRDefault="00703183" w:rsidP="00703183">
      <w:pPr>
        <w:spacing w:after="0" w:line="240" w:lineRule="auto"/>
        <w:jc w:val="center"/>
        <w:rPr>
          <w:rFonts w:ascii="Times New Roman" w:hAnsi="Times New Roman" w:cs="Times New Roman"/>
          <w:b/>
          <w:sz w:val="40"/>
          <w:szCs w:val="32"/>
        </w:rPr>
      </w:pPr>
      <w:r>
        <w:rPr>
          <w:rFonts w:ascii="Times New Roman" w:hAnsi="Times New Roman" w:cs="Times New Roman"/>
          <w:b/>
          <w:sz w:val="40"/>
          <w:szCs w:val="32"/>
        </w:rPr>
        <w:t xml:space="preserve">Services Agreement </w:t>
      </w:r>
      <w:r w:rsidRPr="00267B04">
        <w:rPr>
          <w:rFonts w:ascii="Times New Roman" w:hAnsi="Times New Roman" w:cs="Times New Roman"/>
          <w:b/>
          <w:sz w:val="40"/>
          <w:szCs w:val="32"/>
        </w:rPr>
        <w:t xml:space="preserve">Confidentiality Addendum </w:t>
      </w:r>
      <w:r>
        <w:rPr>
          <w:rFonts w:ascii="Times New Roman" w:hAnsi="Times New Roman" w:cs="Times New Roman"/>
          <w:b/>
          <w:sz w:val="40"/>
          <w:szCs w:val="32"/>
        </w:rPr>
        <w:br/>
      </w:r>
      <w:r w:rsidRPr="00267B04">
        <w:rPr>
          <w:rFonts w:ascii="Times New Roman" w:hAnsi="Times New Roman" w:cs="Times New Roman"/>
          <w:b/>
          <w:sz w:val="40"/>
          <w:szCs w:val="32"/>
        </w:rPr>
        <w:t>(Information &amp; Results)</w:t>
      </w:r>
    </w:p>
    <w:p w:rsidR="00594C7F" w:rsidRDefault="00703183">
      <w:pPr>
        <w:pStyle w:val="Heading2"/>
        <w:pBdr>
          <w:bottom w:val="single" w:sz="4" w:space="1" w:color="auto"/>
        </w:pBdr>
        <w:rPr>
          <w:rFonts w:ascii="Times New Roman" w:eastAsia="Times New Roman" w:hAnsi="Times New Roman" w:cs="Times New Roman"/>
          <w:i/>
          <w:color w:val="C00000"/>
          <w:sz w:val="24"/>
          <w:szCs w:val="24"/>
        </w:rPr>
      </w:pPr>
      <w:r>
        <w:rPr>
          <w:rFonts w:ascii="Times New Roman" w:eastAsia="Times New Roman" w:hAnsi="Times New Roman" w:cs="Times New Roman"/>
          <w:i/>
          <w:color w:val="C00000"/>
          <w:sz w:val="24"/>
          <w:szCs w:val="24"/>
        </w:rPr>
        <w:t>Background &amp; Intent</w:t>
      </w:r>
    </w:p>
    <w:p w:rsidR="00594C7F" w:rsidRDefault="00703183">
      <w:pPr>
        <w:pStyle w:val="NoSpacing"/>
        <w:rPr>
          <w:rFonts w:ascii="Times New Roman" w:hAnsi="Times New Roman" w:cs="Times New Roman"/>
          <w:sz w:val="24"/>
          <w:szCs w:val="24"/>
        </w:rPr>
      </w:pPr>
      <w:r>
        <w:rPr>
          <w:rFonts w:ascii="Times New Roman" w:hAnsi="Times New Roman" w:cs="Times New Roman"/>
          <w:sz w:val="24"/>
          <w:szCs w:val="24"/>
        </w:rPr>
        <w:t>The Office of the General Counsel (OGC) has created a standard Services Agreement Confidentiality Addendum - Information &amp; Results (</w:t>
      </w:r>
      <w:r>
        <w:rPr>
          <w:rFonts w:ascii="Times New Roman" w:hAnsi="Times New Roman" w:cs="Times New Roman"/>
          <w:i/>
          <w:sz w:val="24"/>
          <w:szCs w:val="24"/>
        </w:rPr>
        <w:t xml:space="preserve">see OGC standard form </w:t>
      </w:r>
      <w:r>
        <w:rPr>
          <w:rFonts w:ascii="Times New Roman" w:hAnsi="Times New Roman" w:cs="Times New Roman"/>
          <w:sz w:val="24"/>
          <w:szCs w:val="24"/>
        </w:rPr>
        <w:t>OGC-SC107) for possible use with a Standard Service Agreement (</w:t>
      </w:r>
      <w:r>
        <w:rPr>
          <w:rFonts w:ascii="Times New Roman" w:hAnsi="Times New Roman" w:cs="Times New Roman"/>
          <w:i/>
          <w:sz w:val="24"/>
          <w:szCs w:val="24"/>
        </w:rPr>
        <w:t xml:space="preserve">see OGC standard form </w:t>
      </w:r>
      <w:r>
        <w:rPr>
          <w:rFonts w:ascii="Times New Roman" w:hAnsi="Times New Roman" w:cs="Times New Roman"/>
          <w:sz w:val="24"/>
          <w:szCs w:val="24"/>
          <w:u w:val="single"/>
        </w:rPr>
        <w:t>OGC-SC102</w:t>
      </w:r>
      <w:r>
        <w:rPr>
          <w:rFonts w:ascii="Times New Roman" w:hAnsi="Times New Roman" w:cs="Times New Roman"/>
          <w:sz w:val="24"/>
          <w:szCs w:val="24"/>
        </w:rPr>
        <w:t>).  Always take a copy of the latest contract version from the OGC standard contracts library.</w:t>
      </w:r>
    </w:p>
    <w:p w:rsidR="00594C7F" w:rsidRDefault="00594C7F">
      <w:pPr>
        <w:pStyle w:val="NoSpacing"/>
        <w:rPr>
          <w:rFonts w:ascii="Times New Roman" w:hAnsi="Times New Roman" w:cs="Times New Roman"/>
          <w:sz w:val="24"/>
          <w:szCs w:val="24"/>
        </w:rPr>
      </w:pPr>
    </w:p>
    <w:p w:rsidR="00594C7F" w:rsidRDefault="00703183">
      <w:pPr>
        <w:spacing w:after="240" w:line="240" w:lineRule="auto"/>
        <w:rPr>
          <w:rFonts w:ascii="Times New Roman" w:hAnsi="Times New Roman" w:cs="Times New Roman"/>
          <w:sz w:val="24"/>
          <w:szCs w:val="24"/>
        </w:rPr>
      </w:pPr>
      <w:r>
        <w:rPr>
          <w:rStyle w:val="tableentry"/>
          <w:rFonts w:ascii="Times New Roman" w:hAnsi="Times New Roman" w:cs="Times New Roman"/>
          <w:color w:val="000000"/>
          <w:sz w:val="24"/>
          <w:szCs w:val="24"/>
        </w:rPr>
        <w:t xml:space="preserve">The Addendum to the Services Agreement is used when a Company wants information it submits and/or the results the UMN generation to be kept confidential.  The form defines the types of information that </w:t>
      </w:r>
      <w:proofErr w:type="gramStart"/>
      <w:r>
        <w:rPr>
          <w:rStyle w:val="tableentry"/>
          <w:rFonts w:ascii="Times New Roman" w:hAnsi="Times New Roman" w:cs="Times New Roman"/>
          <w:color w:val="000000"/>
          <w:sz w:val="24"/>
          <w:szCs w:val="24"/>
        </w:rPr>
        <w:t>are</w:t>
      </w:r>
      <w:proofErr w:type="gramEnd"/>
      <w:r>
        <w:rPr>
          <w:rStyle w:val="tableentry"/>
          <w:rFonts w:ascii="Times New Roman" w:hAnsi="Times New Roman" w:cs="Times New Roman"/>
          <w:color w:val="000000"/>
          <w:sz w:val="24"/>
          <w:szCs w:val="24"/>
        </w:rPr>
        <w:t xml:space="preserve"> and are not confidential, term of the confidentiality period, and who may have access to the confidential information.  The addendum cites the governing law –</w:t>
      </w:r>
      <w:r>
        <w:rPr>
          <w:rFonts w:ascii="Times New Roman" w:hAnsi="Times New Roman" w:cs="Times New Roman"/>
          <w:sz w:val="24"/>
          <w:szCs w:val="24"/>
        </w:rPr>
        <w:t xml:space="preserve"> Minnesota Government Data Practices Act, Minnesota Statutes, </w:t>
      </w:r>
      <w:proofErr w:type="gramStart"/>
      <w:r>
        <w:rPr>
          <w:rFonts w:ascii="Times New Roman" w:hAnsi="Times New Roman" w:cs="Times New Roman"/>
          <w:sz w:val="24"/>
          <w:szCs w:val="24"/>
        </w:rPr>
        <w:t>Chapter</w:t>
      </w:r>
      <w:proofErr w:type="gramEnd"/>
      <w:r>
        <w:rPr>
          <w:rFonts w:ascii="Times New Roman" w:hAnsi="Times New Roman" w:cs="Times New Roman"/>
          <w:sz w:val="24"/>
          <w:szCs w:val="24"/>
        </w:rPr>
        <w:t> 13.</w:t>
      </w:r>
    </w:p>
    <w:p w:rsidR="00594C7F" w:rsidRDefault="00703183">
      <w:pPr>
        <w:spacing w:after="240" w:line="240" w:lineRule="auto"/>
        <w:rPr>
          <w:rFonts w:ascii="Times New Roman" w:hAnsi="Times New Roman" w:cs="Times New Roman"/>
          <w:sz w:val="24"/>
          <w:szCs w:val="24"/>
        </w:rPr>
      </w:pPr>
      <w:r>
        <w:rPr>
          <w:rStyle w:val="tableentry"/>
          <w:rFonts w:ascii="Times New Roman" w:hAnsi="Times New Roman" w:cs="Times New Roman"/>
          <w:color w:val="000000"/>
          <w:sz w:val="24"/>
          <w:szCs w:val="24"/>
        </w:rPr>
        <w:t>The Addendum also includes a section entitled “Results of Analysis and Intellectual Property Rights”.  A link is provided to access the UMN Openness in Research Policy and the addendum states –</w:t>
      </w:r>
      <w:r>
        <w:rPr>
          <w:rFonts w:ascii="Times New Roman" w:hAnsi="Times New Roman" w:cs="Times New Roman"/>
          <w:sz w:val="24"/>
          <w:szCs w:val="24"/>
        </w:rPr>
        <w:t>Any materials or information provided to University under this Agreement shall remain the property of Company and Company grants University no express or implied intellectual property rights in such information or materials.</w:t>
      </w:r>
    </w:p>
    <w:p w:rsidR="00594C7F" w:rsidRDefault="00703183">
      <w:pPr>
        <w:pStyle w:val="Heading2"/>
        <w:pBdr>
          <w:bottom w:val="single" w:sz="4" w:space="1" w:color="auto"/>
        </w:pBdr>
        <w:rPr>
          <w:rFonts w:ascii="Times New Roman" w:eastAsia="Times New Roman" w:hAnsi="Times New Roman" w:cs="Times New Roman"/>
          <w:i/>
          <w:color w:val="C00000"/>
          <w:sz w:val="24"/>
          <w:szCs w:val="24"/>
        </w:rPr>
      </w:pPr>
      <w:r>
        <w:rPr>
          <w:rFonts w:ascii="Times New Roman" w:eastAsia="Times New Roman" w:hAnsi="Times New Roman" w:cs="Times New Roman"/>
          <w:i/>
          <w:color w:val="C00000"/>
          <w:sz w:val="24"/>
          <w:szCs w:val="24"/>
        </w:rPr>
        <w:t>Primary Purpose</w:t>
      </w:r>
      <w:r>
        <w:rPr>
          <w:rFonts w:ascii="Times New Roman" w:eastAsia="Times New Roman" w:hAnsi="Times New Roman" w:cs="Times New Roman"/>
          <w:color w:val="C00000"/>
          <w:sz w:val="24"/>
          <w:szCs w:val="24"/>
        </w:rPr>
        <w:t>    </w:t>
      </w:r>
    </w:p>
    <w:p w:rsidR="00594C7F" w:rsidRDefault="00703183">
      <w:pPr>
        <w:rPr>
          <w:rFonts w:ascii="Times New Roman" w:hAnsi="Times New Roman" w:cs="Times New Roman"/>
          <w:sz w:val="24"/>
          <w:szCs w:val="24"/>
        </w:rPr>
      </w:pPr>
      <w:r>
        <w:rPr>
          <w:rFonts w:ascii="Times New Roman" w:hAnsi="Times New Roman" w:cs="Times New Roman"/>
          <w:sz w:val="24"/>
          <w:szCs w:val="24"/>
        </w:rPr>
        <w:t>In general, an agreement (or contract) has two primary purposes:</w:t>
      </w:r>
    </w:p>
    <w:p w:rsidR="00594C7F" w:rsidRDefault="0070318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Defines a mutual written understanding with the customer. The understanding includes the University's obligations to the customer and the customer's obligations to the University. The intent of the agreement is both parties have a clear understanding of their individual obligations and who to contact if there are changes to the agreement. </w:t>
      </w:r>
    </w:p>
    <w:p w:rsidR="00594C7F" w:rsidRDefault="00594C7F">
      <w:pPr>
        <w:pStyle w:val="ListParagraph"/>
        <w:rPr>
          <w:rFonts w:ascii="Times New Roman" w:hAnsi="Times New Roman" w:cs="Times New Roman"/>
          <w:sz w:val="24"/>
          <w:szCs w:val="24"/>
        </w:rPr>
      </w:pPr>
    </w:p>
    <w:p w:rsidR="00594C7F" w:rsidRDefault="0070318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Mitigate risk to the University by clearly stating or disclaiming provisions such as warranties, termination, </w:t>
      </w: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of University name or logo, limitation of liability, indemnification, and export controls.  </w:t>
      </w:r>
    </w:p>
    <w:p w:rsidR="00594C7F" w:rsidRDefault="00703183">
      <w:pPr>
        <w:pStyle w:val="Heading2"/>
        <w:pBdr>
          <w:bottom w:val="single" w:sz="4" w:space="1" w:color="auto"/>
        </w:pBdr>
        <w:rPr>
          <w:rFonts w:ascii="Times New Roman" w:eastAsia="Times New Roman" w:hAnsi="Times New Roman" w:cs="Times New Roman"/>
          <w:i/>
          <w:color w:val="C00000"/>
          <w:sz w:val="24"/>
          <w:szCs w:val="24"/>
        </w:rPr>
      </w:pPr>
      <w:r>
        <w:rPr>
          <w:rFonts w:ascii="Times New Roman" w:eastAsia="Times New Roman" w:hAnsi="Times New Roman" w:cs="Times New Roman"/>
          <w:i/>
          <w:color w:val="C00000"/>
          <w:sz w:val="24"/>
          <w:szCs w:val="24"/>
        </w:rPr>
        <w:t>How to fill out the Confidentiality Addendum</w:t>
      </w:r>
    </w:p>
    <w:p w:rsidR="00594C7F" w:rsidRDefault="00703183">
      <w:pPr>
        <w:rPr>
          <w:rFonts w:ascii="Times New Roman" w:hAnsi="Times New Roman" w:cs="Times New Roman"/>
          <w:sz w:val="24"/>
          <w:szCs w:val="24"/>
        </w:rPr>
      </w:pPr>
      <w:r>
        <w:rPr>
          <w:rFonts w:ascii="Times New Roman" w:hAnsi="Times New Roman" w:cs="Times New Roman"/>
          <w:sz w:val="24"/>
          <w:szCs w:val="24"/>
        </w:rPr>
        <w:t>The department making the external sale completes the gray-shaded areas of the OGC approved External Sales Standard Services Agreement Confidentiality Addendum, to include:</w:t>
      </w:r>
    </w:p>
    <w:p w:rsidR="00594C7F" w:rsidRDefault="00703183" w:rsidP="00703183">
      <w:pPr>
        <w:pStyle w:val="ListParagraph"/>
        <w:numPr>
          <w:ilvl w:val="0"/>
          <w:numId w:val="7"/>
        </w:numPr>
        <w:ind w:left="720"/>
        <w:rPr>
          <w:rFonts w:ascii="Times New Roman" w:hAnsi="Times New Roman" w:cs="Times New Roman"/>
          <w:sz w:val="24"/>
          <w:szCs w:val="24"/>
        </w:rPr>
      </w:pPr>
      <w:r>
        <w:rPr>
          <w:rFonts w:ascii="Times New Roman" w:hAnsi="Times New Roman" w:cs="Times New Roman"/>
          <w:sz w:val="24"/>
          <w:szCs w:val="24"/>
        </w:rPr>
        <w:t>Approved Internal/External Sales Approval Form (IESAF) number for the activity</w:t>
      </w:r>
    </w:p>
    <w:p w:rsidR="00594C7F" w:rsidRDefault="00703183" w:rsidP="00703183">
      <w:pPr>
        <w:pStyle w:val="ListParagraph"/>
        <w:numPr>
          <w:ilvl w:val="0"/>
          <w:numId w:val="7"/>
        </w:numPr>
        <w:ind w:left="720"/>
        <w:rPr>
          <w:rFonts w:ascii="Times New Roman" w:hAnsi="Times New Roman" w:cs="Times New Roman"/>
          <w:sz w:val="24"/>
          <w:szCs w:val="24"/>
        </w:rPr>
      </w:pPr>
      <w:r>
        <w:rPr>
          <w:rFonts w:ascii="Times New Roman" w:hAnsi="Times New Roman" w:cs="Times New Roman"/>
          <w:sz w:val="24"/>
          <w:szCs w:val="24"/>
        </w:rPr>
        <w:t>Full chart/field string (Fund, Dept. ID, Program, CF2)</w:t>
      </w:r>
    </w:p>
    <w:p w:rsidR="00594C7F" w:rsidRDefault="00703183" w:rsidP="00703183">
      <w:pPr>
        <w:pStyle w:val="ListParagraph"/>
        <w:numPr>
          <w:ilvl w:val="0"/>
          <w:numId w:val="7"/>
        </w:numPr>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 of Service Agreement</w:t>
      </w:r>
    </w:p>
    <w:p w:rsidR="00594C7F" w:rsidRDefault="00703183" w:rsidP="00703183">
      <w:pPr>
        <w:pStyle w:val="ListParagraph"/>
        <w:keepNext/>
        <w:keepLines/>
        <w:numPr>
          <w:ilvl w:val="0"/>
          <w:numId w:val="7"/>
        </w:numPr>
        <w:ind w:left="720"/>
        <w:rPr>
          <w:rFonts w:ascii="Times New Roman" w:hAnsi="Times New Roman" w:cs="Times New Roman"/>
          <w:sz w:val="24"/>
          <w:szCs w:val="24"/>
        </w:rPr>
      </w:pPr>
      <w:r>
        <w:rPr>
          <w:rFonts w:ascii="Times New Roman" w:hAnsi="Times New Roman" w:cs="Times New Roman"/>
          <w:sz w:val="24"/>
          <w:szCs w:val="24"/>
        </w:rPr>
        <w:t>Customer’s legal name (“Company”)</w:t>
      </w:r>
    </w:p>
    <w:p w:rsidR="00594C7F" w:rsidRDefault="00703183" w:rsidP="00703183">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Can be validated by customer or on customer’s website if available</w:t>
      </w:r>
    </w:p>
    <w:p w:rsidR="00594C7F" w:rsidRDefault="00703183" w:rsidP="00703183">
      <w:pPr>
        <w:pStyle w:val="ListParagraph"/>
        <w:numPr>
          <w:ilvl w:val="2"/>
          <w:numId w:val="17"/>
        </w:numPr>
        <w:ind w:left="720"/>
        <w:rPr>
          <w:rFonts w:ascii="Times New Roman" w:hAnsi="Times New Roman" w:cs="Times New Roman"/>
          <w:sz w:val="24"/>
          <w:szCs w:val="24"/>
        </w:rPr>
      </w:pPr>
      <w:r>
        <w:rPr>
          <w:rFonts w:ascii="Times New Roman" w:hAnsi="Times New Roman" w:cs="Times New Roman"/>
          <w:sz w:val="24"/>
          <w:szCs w:val="24"/>
        </w:rPr>
        <w:lastRenderedPageBreak/>
        <w:t>Witness Whereof:</w:t>
      </w:r>
    </w:p>
    <w:p w:rsidR="00594C7F" w:rsidRDefault="00703183" w:rsidP="00703183">
      <w:pPr>
        <w:pStyle w:val="ListParagraph"/>
        <w:numPr>
          <w:ilvl w:val="3"/>
          <w:numId w:val="17"/>
        </w:numPr>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left signature block is the University employee who has the delegated External Sales Signature Authority for the Unit. Enter the employee's Name and Title (refer to the </w:t>
      </w:r>
      <w:r>
        <w:rPr>
          <w:rFonts w:ascii="Times New Roman" w:eastAsia="Times New Roman" w:hAnsi="Times New Roman" w:cs="Times New Roman"/>
          <w:sz w:val="24"/>
          <w:szCs w:val="24"/>
        </w:rPr>
        <w:t>Delegations Library</w:t>
      </w:r>
      <w:r>
        <w:rPr>
          <w:rFonts w:ascii="Times New Roman" w:eastAsia="Times New Roman" w:hAnsi="Times New Roman" w:cs="Times New Roman"/>
          <w:color w:val="000000"/>
          <w:sz w:val="24"/>
          <w:szCs w:val="24"/>
        </w:rPr>
        <w:t xml:space="preserve"> to see who has been delegated this authority). </w:t>
      </w:r>
    </w:p>
    <w:p w:rsidR="00594C7F" w:rsidRDefault="00703183" w:rsidP="00703183">
      <w:pPr>
        <w:pStyle w:val="ListParagraph"/>
        <w:numPr>
          <w:ilvl w:val="3"/>
          <w:numId w:val="17"/>
        </w:numPr>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right signature block is for the Customer's Company Name, Authorized Signer and Title. The customer should sign first and then return to the department for signature.</w:t>
      </w:r>
    </w:p>
    <w:sectPr w:rsidR="00594C7F" w:rsidSect="00703183">
      <w:footerReference w:type="default" r:id="rId8"/>
      <w:pgSz w:w="12240" w:h="15840"/>
      <w:pgMar w:top="720" w:right="576" w:bottom="1440" w:left="720" w:header="720" w:footer="720" w:gutter="0"/>
      <w:pgBorders w:offsetFrom="page">
        <w:top w:val="single" w:sz="18" w:space="24" w:color="C00000"/>
        <w:left w:val="single" w:sz="18" w:space="24" w:color="C00000"/>
        <w:bottom w:val="single" w:sz="18" w:space="24" w:color="C00000"/>
        <w:right w:val="single" w:sz="18"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C7F" w:rsidRDefault="00703183">
      <w:pPr>
        <w:spacing w:after="0" w:line="240" w:lineRule="auto"/>
      </w:pPr>
      <w:r>
        <w:separator/>
      </w:r>
    </w:p>
  </w:endnote>
  <w:endnote w:type="continuationSeparator" w:id="0">
    <w:p w:rsidR="00594C7F" w:rsidRDefault="0070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83" w:rsidRPr="00267B04" w:rsidRDefault="00703183" w:rsidP="00703183">
    <w:pPr>
      <w:pStyle w:val="Footer"/>
      <w:rPr>
        <w:sz w:val="14"/>
      </w:rPr>
    </w:pPr>
    <w:r w:rsidRPr="00267B04">
      <w:rPr>
        <w:sz w:val="14"/>
      </w:rPr>
      <w:t xml:space="preserve">Instructions for </w:t>
    </w:r>
    <w:r>
      <w:rPr>
        <w:sz w:val="14"/>
      </w:rPr>
      <w:t xml:space="preserve">Services Agreement </w:t>
    </w:r>
    <w:r w:rsidRPr="00267B04">
      <w:rPr>
        <w:sz w:val="14"/>
      </w:rPr>
      <w:t xml:space="preserve">Confidentiality Addendum </w:t>
    </w:r>
    <w:r>
      <w:rPr>
        <w:sz w:val="14"/>
      </w:rPr>
      <w:t>(</w:t>
    </w:r>
    <w:r w:rsidRPr="00267B04">
      <w:rPr>
        <w:sz w:val="14"/>
      </w:rPr>
      <w:t xml:space="preserve">Info </w:t>
    </w:r>
    <w:r>
      <w:rPr>
        <w:sz w:val="14"/>
      </w:rPr>
      <w:t>&amp;</w:t>
    </w:r>
    <w:r w:rsidRPr="00267B04">
      <w:rPr>
        <w:sz w:val="14"/>
      </w:rPr>
      <w:t xml:space="preserve"> Results</w:t>
    </w:r>
    <w:r>
      <w:rPr>
        <w:sz w:val="14"/>
      </w:rPr>
      <w:t>)</w:t>
    </w:r>
  </w:p>
  <w:p w:rsidR="00703183" w:rsidRPr="00267B04" w:rsidRDefault="00703183" w:rsidP="00703183">
    <w:pPr>
      <w:pStyle w:val="Footer"/>
      <w:rPr>
        <w:sz w:val="14"/>
      </w:rPr>
    </w:pPr>
    <w:r w:rsidRPr="00267B04">
      <w:rPr>
        <w:sz w:val="14"/>
      </w:rPr>
      <w:t>Form:  OGC-SC107i</w:t>
    </w:r>
  </w:p>
  <w:p w:rsidR="00703183" w:rsidRDefault="00703183" w:rsidP="00703183">
    <w:pPr>
      <w:pStyle w:val="Footer"/>
      <w:rPr>
        <w:sz w:val="14"/>
      </w:rPr>
    </w:pPr>
    <w:r w:rsidRPr="00267B04">
      <w:rPr>
        <w:sz w:val="14"/>
      </w:rPr>
      <w:t>Form Date:  12.15.15</w:t>
    </w:r>
  </w:p>
  <w:p w:rsidR="00703183" w:rsidRPr="00267B04" w:rsidRDefault="00703183" w:rsidP="00703183">
    <w:pPr>
      <w:pStyle w:val="Footer"/>
      <w:jc w:val="center"/>
      <w:rPr>
        <w:sz w:val="24"/>
      </w:rPr>
    </w:pPr>
    <w:r w:rsidRPr="00267B04">
      <w:rPr>
        <w:sz w:val="24"/>
      </w:rPr>
      <w:fldChar w:fldCharType="begin"/>
    </w:r>
    <w:r w:rsidRPr="00267B04">
      <w:rPr>
        <w:sz w:val="24"/>
      </w:rPr>
      <w:instrText xml:space="preserve"> PAGE   \* MERGEFORMAT </w:instrText>
    </w:r>
    <w:r w:rsidRPr="00267B04">
      <w:rPr>
        <w:sz w:val="24"/>
      </w:rPr>
      <w:fldChar w:fldCharType="separate"/>
    </w:r>
    <w:r w:rsidR="00FD15B7">
      <w:rPr>
        <w:noProof/>
        <w:sz w:val="24"/>
      </w:rPr>
      <w:t>1</w:t>
    </w:r>
    <w:r w:rsidRPr="00267B04">
      <w:rPr>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C7F" w:rsidRDefault="00703183">
      <w:pPr>
        <w:spacing w:after="0" w:line="240" w:lineRule="auto"/>
      </w:pPr>
      <w:r>
        <w:separator/>
      </w:r>
    </w:p>
  </w:footnote>
  <w:footnote w:type="continuationSeparator" w:id="0">
    <w:p w:rsidR="00594C7F" w:rsidRDefault="007031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E05"/>
    <w:multiLevelType w:val="hybridMultilevel"/>
    <w:tmpl w:val="D3A022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E2725"/>
    <w:multiLevelType w:val="hybridMultilevel"/>
    <w:tmpl w:val="D65288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A525F"/>
    <w:multiLevelType w:val="hybridMultilevel"/>
    <w:tmpl w:val="A9FC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50575"/>
    <w:multiLevelType w:val="hybridMultilevel"/>
    <w:tmpl w:val="15FA60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235D9"/>
    <w:multiLevelType w:val="hybridMultilevel"/>
    <w:tmpl w:val="246A4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C2D6A"/>
    <w:multiLevelType w:val="hybridMultilevel"/>
    <w:tmpl w:val="D6528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0F4C03"/>
    <w:multiLevelType w:val="hybridMultilevel"/>
    <w:tmpl w:val="9EB4E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A3434E"/>
    <w:multiLevelType w:val="hybridMultilevel"/>
    <w:tmpl w:val="A846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35742D"/>
    <w:multiLevelType w:val="hybridMultilevel"/>
    <w:tmpl w:val="598CD5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D03BDB"/>
    <w:multiLevelType w:val="hybridMultilevel"/>
    <w:tmpl w:val="FEB2A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5C5F86"/>
    <w:multiLevelType w:val="hybridMultilevel"/>
    <w:tmpl w:val="B13821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5125B4"/>
    <w:multiLevelType w:val="hybridMultilevel"/>
    <w:tmpl w:val="4676A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B806D2"/>
    <w:multiLevelType w:val="hybridMultilevel"/>
    <w:tmpl w:val="A22E71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145868"/>
    <w:multiLevelType w:val="hybridMultilevel"/>
    <w:tmpl w:val="2988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F93DF2"/>
    <w:multiLevelType w:val="hybridMultilevel"/>
    <w:tmpl w:val="4A005C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364A31C6">
      <w:start w:val="1"/>
      <w:numFmt w:val="bullet"/>
      <w:lvlText w:val="›"/>
      <w:lvlJc w:val="left"/>
      <w:pPr>
        <w:ind w:left="2880" w:hanging="360"/>
      </w:pPr>
      <w:rPr>
        <w:rFonts w:ascii="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87040E"/>
    <w:multiLevelType w:val="hybridMultilevel"/>
    <w:tmpl w:val="772423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364A31C6">
      <w:start w:val="1"/>
      <w:numFmt w:val="bullet"/>
      <w:lvlText w:val="›"/>
      <w:lvlJc w:val="left"/>
      <w:pPr>
        <w:ind w:left="2880" w:hanging="360"/>
      </w:pPr>
      <w:rPr>
        <w:rFonts w:ascii="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1728AF"/>
    <w:multiLevelType w:val="hybridMultilevel"/>
    <w:tmpl w:val="E20C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38184B"/>
    <w:multiLevelType w:val="hybridMultilevel"/>
    <w:tmpl w:val="F7DC43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6"/>
  </w:num>
  <w:num w:numId="4">
    <w:abstractNumId w:val="7"/>
  </w:num>
  <w:num w:numId="5">
    <w:abstractNumId w:val="9"/>
  </w:num>
  <w:num w:numId="6">
    <w:abstractNumId w:val="0"/>
  </w:num>
  <w:num w:numId="7">
    <w:abstractNumId w:val="6"/>
  </w:num>
  <w:num w:numId="8">
    <w:abstractNumId w:val="2"/>
  </w:num>
  <w:num w:numId="9">
    <w:abstractNumId w:val="11"/>
  </w:num>
  <w:num w:numId="10">
    <w:abstractNumId w:val="10"/>
  </w:num>
  <w:num w:numId="11">
    <w:abstractNumId w:val="15"/>
  </w:num>
  <w:num w:numId="12">
    <w:abstractNumId w:val="5"/>
  </w:num>
  <w:num w:numId="13">
    <w:abstractNumId w:val="8"/>
  </w:num>
  <w:num w:numId="14">
    <w:abstractNumId w:val="3"/>
  </w:num>
  <w:num w:numId="15">
    <w:abstractNumId w:val="12"/>
  </w:num>
  <w:num w:numId="16">
    <w:abstractNumId w:val="14"/>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ocumentProtection w:edit="readOnly" w:enforcement="1" w:cryptProviderType="rsaFull" w:cryptAlgorithmClass="hash" w:cryptAlgorithmType="typeAny" w:cryptAlgorithmSid="4" w:cryptSpinCount="100000" w:hash="D8TdqUSawSDw1jF2jz0jTvPDpL8=" w:salt="wyu5HIOTw7q3TS5uD6lnP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7F"/>
    <w:rsid w:val="00594C7F"/>
    <w:rsid w:val="00646BC8"/>
    <w:rsid w:val="00703183"/>
    <w:rsid w:val="00F3445A"/>
    <w:rsid w:val="00FD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style>
  <w:style w:type="character" w:customStyle="1" w:styleId="tableentry">
    <w:name w:val="tableentry"/>
    <w:basedOn w:val="DefaultParagraphFont"/>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style>
  <w:style w:type="character" w:customStyle="1" w:styleId="tableentry">
    <w:name w:val="tableentry"/>
    <w:basedOn w:val="DefaultParagraphFont"/>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 Fritsch</dc:creator>
  <cp:lastModifiedBy>Jean M Schatz</cp:lastModifiedBy>
  <cp:revision>3</cp:revision>
  <dcterms:created xsi:type="dcterms:W3CDTF">2015-12-23T16:24:00Z</dcterms:created>
  <dcterms:modified xsi:type="dcterms:W3CDTF">2015-12-23T16:26:00Z</dcterms:modified>
  <cp:version>0</cp:version>
</cp:coreProperties>
</file>