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A2" w:rsidRPr="00A66E3E" w:rsidRDefault="00072797" w:rsidP="00BD0121">
      <w:pPr>
        <w:spacing w:after="0" w:line="240" w:lineRule="auto"/>
        <w:jc w:val="center"/>
        <w:rPr>
          <w:rFonts w:ascii="Times New Roman" w:hAnsi="Times New Roman" w:cs="Times New Roman"/>
          <w:b/>
          <w:sz w:val="24"/>
          <w:szCs w:val="24"/>
        </w:rPr>
      </w:pPr>
      <w:bookmarkStart w:id="0" w:name="_GoBack"/>
      <w:bookmarkEnd w:id="0"/>
      <w:r w:rsidRPr="00A66E3E">
        <w:rPr>
          <w:rFonts w:ascii="Times New Roman" w:hAnsi="Times New Roman" w:cs="Times New Roman"/>
          <w:b/>
          <w:sz w:val="24"/>
          <w:szCs w:val="24"/>
        </w:rPr>
        <w:t>User G</w:t>
      </w:r>
      <w:r w:rsidR="003F6B22" w:rsidRPr="00A66E3E">
        <w:rPr>
          <w:rFonts w:ascii="Times New Roman" w:hAnsi="Times New Roman" w:cs="Times New Roman"/>
          <w:b/>
          <w:sz w:val="24"/>
          <w:szCs w:val="24"/>
        </w:rPr>
        <w:t>uide to</w:t>
      </w:r>
      <w:r w:rsidRPr="00A66E3E">
        <w:rPr>
          <w:rFonts w:ascii="Times New Roman" w:hAnsi="Times New Roman" w:cs="Times New Roman"/>
          <w:b/>
          <w:sz w:val="24"/>
          <w:szCs w:val="24"/>
        </w:rPr>
        <w:t xml:space="preserve"> </w:t>
      </w:r>
    </w:p>
    <w:p w:rsidR="004B2BE3" w:rsidRPr="00A66E3E" w:rsidRDefault="008F333E" w:rsidP="00BD0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w:t>
      </w:r>
      <w:r w:rsidR="00072797" w:rsidRPr="00A66E3E">
        <w:rPr>
          <w:rFonts w:ascii="Times New Roman" w:hAnsi="Times New Roman" w:cs="Times New Roman"/>
          <w:b/>
          <w:sz w:val="24"/>
          <w:szCs w:val="24"/>
        </w:rPr>
        <w:t xml:space="preserve"> </w:t>
      </w:r>
      <w:r w:rsidR="00BA55B0" w:rsidRPr="00A66E3E">
        <w:rPr>
          <w:rFonts w:ascii="Times New Roman" w:hAnsi="Times New Roman" w:cs="Times New Roman"/>
          <w:b/>
          <w:sz w:val="24"/>
          <w:szCs w:val="24"/>
        </w:rPr>
        <w:t>Inter-Institutional Agreement (2013)</w:t>
      </w:r>
      <w:r w:rsidR="008E3CA2" w:rsidRPr="00A66E3E">
        <w:rPr>
          <w:rFonts w:ascii="Times New Roman" w:hAnsi="Times New Roman" w:cs="Times New Roman"/>
          <w:b/>
          <w:sz w:val="24"/>
          <w:szCs w:val="24"/>
        </w:rPr>
        <w:t xml:space="preserve"> and</w:t>
      </w:r>
    </w:p>
    <w:p w:rsidR="008E3CA2" w:rsidRPr="00A66E3E" w:rsidRDefault="008F333E" w:rsidP="00BD0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w:t>
      </w:r>
      <w:r w:rsidR="00BA55B0" w:rsidRPr="00A66E3E">
        <w:rPr>
          <w:rFonts w:ascii="Times New Roman" w:hAnsi="Times New Roman" w:cs="Times New Roman"/>
          <w:b/>
          <w:sz w:val="24"/>
          <w:szCs w:val="24"/>
        </w:rPr>
        <w:t xml:space="preserve"> </w:t>
      </w:r>
      <w:r w:rsidR="008E3CA2" w:rsidRPr="00A66E3E">
        <w:rPr>
          <w:rFonts w:ascii="Times New Roman" w:hAnsi="Times New Roman" w:cs="Times New Roman"/>
          <w:b/>
          <w:sz w:val="24"/>
          <w:szCs w:val="24"/>
        </w:rPr>
        <w:t xml:space="preserve">Preliminary Patent Management Agreement </w:t>
      </w:r>
      <w:r w:rsidR="00BA55B0" w:rsidRPr="00A66E3E">
        <w:rPr>
          <w:rFonts w:ascii="Times New Roman" w:hAnsi="Times New Roman" w:cs="Times New Roman"/>
          <w:b/>
          <w:sz w:val="24"/>
          <w:szCs w:val="24"/>
        </w:rPr>
        <w:t>(2013)</w:t>
      </w:r>
    </w:p>
    <w:p w:rsidR="00A66E3E" w:rsidRDefault="00A66E3E" w:rsidP="00A66E3E">
      <w:pPr>
        <w:spacing w:after="240" w:line="240" w:lineRule="auto"/>
        <w:rPr>
          <w:rFonts w:ascii="Times New Roman" w:hAnsi="Times New Roman" w:cs="Times New Roman"/>
          <w:b/>
          <w:sz w:val="24"/>
          <w:szCs w:val="24"/>
          <w:u w:val="single"/>
        </w:rPr>
      </w:pPr>
    </w:p>
    <w:p w:rsidR="008E3CA2" w:rsidRPr="00A66E3E" w:rsidRDefault="008E3CA2" w:rsidP="00A66E3E">
      <w:pPr>
        <w:spacing w:after="240" w:line="240" w:lineRule="auto"/>
        <w:rPr>
          <w:rFonts w:ascii="Times New Roman" w:hAnsi="Times New Roman" w:cs="Times New Roman"/>
          <w:b/>
          <w:sz w:val="24"/>
          <w:szCs w:val="24"/>
          <w:u w:val="single"/>
        </w:rPr>
      </w:pPr>
      <w:r w:rsidRPr="00A66E3E">
        <w:rPr>
          <w:rFonts w:ascii="Times New Roman" w:hAnsi="Times New Roman" w:cs="Times New Roman"/>
          <w:b/>
          <w:sz w:val="24"/>
          <w:szCs w:val="24"/>
          <w:u w:val="single"/>
        </w:rPr>
        <w:t>Background and Endorsement</w:t>
      </w:r>
    </w:p>
    <w:p w:rsidR="00402C48" w:rsidRPr="00A66E3E" w:rsidRDefault="00402C48"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The </w:t>
      </w:r>
      <w:r w:rsidR="008F333E">
        <w:rPr>
          <w:rFonts w:ascii="Times New Roman" w:hAnsi="Times New Roman" w:cs="Times New Roman"/>
          <w:sz w:val="24"/>
          <w:szCs w:val="24"/>
        </w:rPr>
        <w:t>Model</w:t>
      </w:r>
      <w:r w:rsidR="001F26DF" w:rsidRPr="00A66E3E">
        <w:rPr>
          <w:rFonts w:ascii="Times New Roman" w:hAnsi="Times New Roman" w:cs="Times New Roman"/>
          <w:sz w:val="24"/>
          <w:szCs w:val="24"/>
        </w:rPr>
        <w:t xml:space="preserve"> </w:t>
      </w:r>
      <w:r w:rsidR="00F214D3" w:rsidRPr="00A66E3E">
        <w:rPr>
          <w:rFonts w:ascii="Times New Roman" w:hAnsi="Times New Roman" w:cs="Times New Roman"/>
          <w:sz w:val="24"/>
          <w:szCs w:val="24"/>
        </w:rPr>
        <w:t>Inter-Institutional Agreement (</w:t>
      </w:r>
      <w:r w:rsidR="008F333E">
        <w:rPr>
          <w:rFonts w:ascii="Times New Roman" w:hAnsi="Times New Roman" w:cs="Times New Roman"/>
          <w:sz w:val="24"/>
          <w:szCs w:val="24"/>
        </w:rPr>
        <w:t>Model</w:t>
      </w:r>
      <w:r w:rsidR="002302FB" w:rsidRPr="00A66E3E">
        <w:rPr>
          <w:rFonts w:ascii="Times New Roman" w:hAnsi="Times New Roman" w:cs="Times New Roman"/>
          <w:sz w:val="24"/>
          <w:szCs w:val="24"/>
        </w:rPr>
        <w:t xml:space="preserve"> </w:t>
      </w:r>
      <w:r w:rsidR="001F26DF" w:rsidRPr="00A66E3E">
        <w:rPr>
          <w:rFonts w:ascii="Times New Roman" w:hAnsi="Times New Roman" w:cs="Times New Roman"/>
          <w:sz w:val="24"/>
          <w:szCs w:val="24"/>
        </w:rPr>
        <w:t>IIA</w:t>
      </w:r>
      <w:r w:rsidR="00F214D3" w:rsidRPr="00A66E3E">
        <w:rPr>
          <w:rFonts w:ascii="Times New Roman" w:hAnsi="Times New Roman" w:cs="Times New Roman"/>
          <w:sz w:val="24"/>
          <w:szCs w:val="24"/>
        </w:rPr>
        <w:t>)</w:t>
      </w:r>
      <w:r w:rsidR="001F26DF" w:rsidRPr="00A66E3E">
        <w:rPr>
          <w:rFonts w:ascii="Times New Roman" w:hAnsi="Times New Roman" w:cs="Times New Roman"/>
          <w:sz w:val="24"/>
          <w:szCs w:val="24"/>
        </w:rPr>
        <w:t xml:space="preserve"> was dev</w:t>
      </w:r>
      <w:r w:rsidRPr="00A66E3E">
        <w:rPr>
          <w:rFonts w:ascii="Times New Roman" w:hAnsi="Times New Roman" w:cs="Times New Roman"/>
          <w:sz w:val="24"/>
          <w:szCs w:val="24"/>
        </w:rPr>
        <w:t xml:space="preserve">eloped </w:t>
      </w:r>
      <w:r w:rsidR="00E71513" w:rsidRPr="00A66E3E">
        <w:rPr>
          <w:rFonts w:ascii="Times New Roman" w:hAnsi="Times New Roman" w:cs="Times New Roman"/>
          <w:sz w:val="24"/>
          <w:szCs w:val="24"/>
        </w:rPr>
        <w:t xml:space="preserve">in 2013 </w:t>
      </w:r>
      <w:r w:rsidRPr="00A66E3E">
        <w:rPr>
          <w:rFonts w:ascii="Times New Roman" w:hAnsi="Times New Roman" w:cs="Times New Roman"/>
          <w:sz w:val="24"/>
          <w:szCs w:val="24"/>
        </w:rPr>
        <w:t xml:space="preserve">by a diverse group of </w:t>
      </w:r>
      <w:r w:rsidR="001F26DF" w:rsidRPr="00A66E3E">
        <w:rPr>
          <w:rFonts w:ascii="Times New Roman" w:hAnsi="Times New Roman" w:cs="Times New Roman"/>
          <w:sz w:val="24"/>
          <w:szCs w:val="24"/>
        </w:rPr>
        <w:t xml:space="preserve">U.S. research institutions </w:t>
      </w:r>
      <w:r w:rsidRPr="00A66E3E">
        <w:rPr>
          <w:rFonts w:ascii="Times New Roman" w:hAnsi="Times New Roman" w:cs="Times New Roman"/>
          <w:sz w:val="24"/>
          <w:szCs w:val="24"/>
        </w:rPr>
        <w:t>to create a</w:t>
      </w:r>
      <w:r w:rsidR="001F26DF" w:rsidRPr="00A66E3E">
        <w:rPr>
          <w:rFonts w:ascii="Times New Roman" w:hAnsi="Times New Roman" w:cs="Times New Roman"/>
          <w:sz w:val="24"/>
          <w:szCs w:val="24"/>
        </w:rPr>
        <w:t xml:space="preserve"> </w:t>
      </w:r>
      <w:r w:rsidR="00BF34FD" w:rsidRPr="00A66E3E">
        <w:rPr>
          <w:rFonts w:ascii="Times New Roman" w:hAnsi="Times New Roman" w:cs="Times New Roman"/>
          <w:sz w:val="24"/>
          <w:szCs w:val="24"/>
        </w:rPr>
        <w:t xml:space="preserve">template as a </w:t>
      </w:r>
      <w:r w:rsidR="001F26DF" w:rsidRPr="00A66E3E">
        <w:rPr>
          <w:rFonts w:ascii="Times New Roman" w:hAnsi="Times New Roman" w:cs="Times New Roman"/>
          <w:sz w:val="24"/>
          <w:szCs w:val="24"/>
        </w:rPr>
        <w:t>common star</w:t>
      </w:r>
      <w:r w:rsidR="00BF34FD" w:rsidRPr="00A66E3E">
        <w:rPr>
          <w:rFonts w:ascii="Times New Roman" w:hAnsi="Times New Roman" w:cs="Times New Roman"/>
          <w:sz w:val="24"/>
          <w:szCs w:val="24"/>
        </w:rPr>
        <w:t>ting</w:t>
      </w:r>
      <w:r w:rsidR="00F214D3" w:rsidRPr="00A66E3E">
        <w:rPr>
          <w:rFonts w:ascii="Times New Roman" w:hAnsi="Times New Roman" w:cs="Times New Roman"/>
          <w:sz w:val="24"/>
          <w:szCs w:val="24"/>
        </w:rPr>
        <w:t xml:space="preserve"> </w:t>
      </w:r>
      <w:r w:rsidRPr="00A66E3E">
        <w:rPr>
          <w:rFonts w:ascii="Times New Roman" w:hAnsi="Times New Roman" w:cs="Times New Roman"/>
          <w:sz w:val="24"/>
          <w:szCs w:val="24"/>
        </w:rPr>
        <w:t>point for IIA negotiations in circumstances where two or more patent co-owners do not otherwise have a history of jointly managing patents together or an agreed starting point. It is intended to supplement, not replace, the existing body of IIA templates, although some</w:t>
      </w:r>
      <w:r w:rsidR="009A2E94" w:rsidRPr="00A66E3E">
        <w:rPr>
          <w:rFonts w:ascii="Times New Roman" w:hAnsi="Times New Roman" w:cs="Times New Roman"/>
          <w:sz w:val="24"/>
          <w:szCs w:val="24"/>
        </w:rPr>
        <w:t xml:space="preserve"> institutions may choose to use</w:t>
      </w:r>
      <w:r w:rsidRPr="00A66E3E">
        <w:rPr>
          <w:rFonts w:ascii="Times New Roman" w:hAnsi="Times New Roman" w:cs="Times New Roman"/>
          <w:sz w:val="24"/>
          <w:szCs w:val="24"/>
        </w:rPr>
        <w:t xml:space="preserve"> it </w:t>
      </w:r>
      <w:r w:rsidR="009A2E94" w:rsidRPr="00A66E3E">
        <w:rPr>
          <w:rFonts w:ascii="Times New Roman" w:hAnsi="Times New Roman" w:cs="Times New Roman"/>
          <w:sz w:val="24"/>
          <w:szCs w:val="24"/>
        </w:rPr>
        <w:t xml:space="preserve">as </w:t>
      </w:r>
      <w:r w:rsidRPr="00A66E3E">
        <w:rPr>
          <w:rFonts w:ascii="Times New Roman" w:hAnsi="Times New Roman" w:cs="Times New Roman"/>
          <w:sz w:val="24"/>
          <w:szCs w:val="24"/>
        </w:rPr>
        <w:t xml:space="preserve">their </w:t>
      </w:r>
      <w:r w:rsidR="009A2E94" w:rsidRPr="00A66E3E">
        <w:rPr>
          <w:rFonts w:ascii="Times New Roman" w:hAnsi="Times New Roman" w:cs="Times New Roman"/>
          <w:sz w:val="24"/>
          <w:szCs w:val="24"/>
        </w:rPr>
        <w:t xml:space="preserve">standard </w:t>
      </w:r>
      <w:r w:rsidRPr="00A66E3E">
        <w:rPr>
          <w:rFonts w:ascii="Times New Roman" w:hAnsi="Times New Roman" w:cs="Times New Roman"/>
          <w:sz w:val="24"/>
          <w:szCs w:val="24"/>
        </w:rPr>
        <w:t>template agreement.</w:t>
      </w:r>
    </w:p>
    <w:p w:rsidR="00083B7A" w:rsidRPr="0025541E" w:rsidRDefault="00072797"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While the </w:t>
      </w:r>
      <w:r w:rsidR="00421642" w:rsidRPr="00A66E3E">
        <w:rPr>
          <w:rFonts w:ascii="Times New Roman" w:hAnsi="Times New Roman" w:cs="Times New Roman"/>
          <w:sz w:val="24"/>
          <w:szCs w:val="24"/>
        </w:rPr>
        <w:t xml:space="preserve">template </w:t>
      </w:r>
      <w:r w:rsidRPr="00A66E3E">
        <w:rPr>
          <w:rFonts w:ascii="Times New Roman" w:hAnsi="Times New Roman" w:cs="Times New Roman"/>
          <w:sz w:val="24"/>
          <w:szCs w:val="24"/>
        </w:rPr>
        <w:t xml:space="preserve">has been </w:t>
      </w:r>
      <w:r w:rsidR="00421642" w:rsidRPr="00A66E3E">
        <w:rPr>
          <w:rFonts w:ascii="Times New Roman" w:hAnsi="Times New Roman" w:cs="Times New Roman"/>
          <w:sz w:val="24"/>
          <w:szCs w:val="24"/>
        </w:rPr>
        <w:t xml:space="preserve">endorsed by the initial group of </w:t>
      </w:r>
      <w:r w:rsidR="008E3CA2" w:rsidRPr="00A66E3E">
        <w:rPr>
          <w:rFonts w:ascii="Times New Roman" w:hAnsi="Times New Roman" w:cs="Times New Roman"/>
          <w:sz w:val="24"/>
          <w:szCs w:val="24"/>
        </w:rPr>
        <w:t xml:space="preserve">over </w:t>
      </w:r>
      <w:r w:rsidR="00D745A2">
        <w:rPr>
          <w:rFonts w:ascii="Times New Roman" w:hAnsi="Times New Roman" w:cs="Times New Roman"/>
          <w:sz w:val="24"/>
          <w:szCs w:val="24"/>
        </w:rPr>
        <w:t>15</w:t>
      </w:r>
      <w:r w:rsidR="00421642" w:rsidRPr="00A66E3E">
        <w:rPr>
          <w:rFonts w:ascii="Times New Roman" w:hAnsi="Times New Roman" w:cs="Times New Roman"/>
          <w:sz w:val="24"/>
          <w:szCs w:val="24"/>
        </w:rPr>
        <w:t xml:space="preserve"> </w:t>
      </w:r>
      <w:r w:rsidR="008F333E">
        <w:rPr>
          <w:rFonts w:ascii="Times New Roman" w:hAnsi="Times New Roman" w:cs="Times New Roman"/>
          <w:sz w:val="24"/>
          <w:szCs w:val="24"/>
        </w:rPr>
        <w:t>institutions</w:t>
      </w:r>
      <w:r w:rsidR="00421642" w:rsidRPr="00A66E3E">
        <w:rPr>
          <w:rFonts w:ascii="Times New Roman" w:hAnsi="Times New Roman" w:cs="Times New Roman"/>
          <w:sz w:val="24"/>
          <w:szCs w:val="24"/>
        </w:rPr>
        <w:t xml:space="preserve"> that prepared the document, </w:t>
      </w:r>
      <w:r w:rsidRPr="00A66E3E">
        <w:rPr>
          <w:rFonts w:ascii="Times New Roman" w:hAnsi="Times New Roman" w:cs="Times New Roman"/>
          <w:sz w:val="24"/>
          <w:szCs w:val="24"/>
        </w:rPr>
        <w:t xml:space="preserve">it will be most effective if used </w:t>
      </w:r>
      <w:r w:rsidR="00877A65">
        <w:rPr>
          <w:rFonts w:ascii="Times New Roman" w:hAnsi="Times New Roman" w:cs="Times New Roman"/>
          <w:sz w:val="24"/>
          <w:szCs w:val="24"/>
        </w:rPr>
        <w:t xml:space="preserve">and endorsed </w:t>
      </w:r>
      <w:r w:rsidRPr="00A66E3E">
        <w:rPr>
          <w:rFonts w:ascii="Times New Roman" w:hAnsi="Times New Roman" w:cs="Times New Roman"/>
          <w:sz w:val="24"/>
          <w:szCs w:val="24"/>
        </w:rPr>
        <w:t>by additional institutions.</w:t>
      </w:r>
      <w:r w:rsidR="00E71513" w:rsidRPr="00A66E3E">
        <w:rPr>
          <w:rFonts w:ascii="Times New Roman" w:hAnsi="Times New Roman" w:cs="Times New Roman"/>
          <w:sz w:val="24"/>
          <w:szCs w:val="24"/>
        </w:rPr>
        <w:t xml:space="preserve"> I</w:t>
      </w:r>
      <w:r w:rsidR="00877A65">
        <w:rPr>
          <w:rFonts w:ascii="Times New Roman" w:hAnsi="Times New Roman" w:cs="Times New Roman"/>
          <w:sz w:val="24"/>
          <w:szCs w:val="24"/>
        </w:rPr>
        <w:t xml:space="preserve">f other institutions are interested in using or endorsing the </w:t>
      </w:r>
      <w:r w:rsidR="008F333E">
        <w:rPr>
          <w:rFonts w:ascii="Times New Roman" w:hAnsi="Times New Roman" w:cs="Times New Roman"/>
          <w:sz w:val="24"/>
          <w:szCs w:val="24"/>
        </w:rPr>
        <w:t>Model</w:t>
      </w:r>
      <w:r w:rsidR="00E71513" w:rsidRPr="00A66E3E">
        <w:rPr>
          <w:rFonts w:ascii="Times New Roman" w:hAnsi="Times New Roman" w:cs="Times New Roman"/>
          <w:sz w:val="24"/>
          <w:szCs w:val="24"/>
        </w:rPr>
        <w:t xml:space="preserve"> IIA, </w:t>
      </w:r>
      <w:r w:rsidR="00877A65">
        <w:rPr>
          <w:rFonts w:ascii="Times New Roman" w:hAnsi="Times New Roman" w:cs="Times New Roman"/>
          <w:sz w:val="24"/>
          <w:szCs w:val="24"/>
        </w:rPr>
        <w:t xml:space="preserve">they are encouraged to join the Model IIA Discussion </w:t>
      </w:r>
      <w:proofErr w:type="spellStart"/>
      <w:r w:rsidR="00877A65">
        <w:rPr>
          <w:rFonts w:ascii="Times New Roman" w:hAnsi="Times New Roman" w:cs="Times New Roman"/>
          <w:sz w:val="24"/>
          <w:szCs w:val="24"/>
        </w:rPr>
        <w:t>eGroup</w:t>
      </w:r>
      <w:proofErr w:type="spellEnd"/>
      <w:r w:rsidR="00877A65">
        <w:rPr>
          <w:rFonts w:ascii="Times New Roman" w:hAnsi="Times New Roman" w:cs="Times New Roman"/>
          <w:sz w:val="24"/>
          <w:szCs w:val="24"/>
        </w:rPr>
        <w:t xml:space="preserve"> on the AUTM website</w:t>
      </w:r>
      <w:r w:rsidR="0025541E">
        <w:rPr>
          <w:rFonts w:ascii="Times New Roman" w:hAnsi="Times New Roman" w:cs="Times New Roman"/>
          <w:sz w:val="24"/>
          <w:szCs w:val="24"/>
        </w:rPr>
        <w:t xml:space="preserve"> (www.autm.net)</w:t>
      </w:r>
      <w:r w:rsidR="00E71513" w:rsidRPr="00A66E3E">
        <w:rPr>
          <w:rFonts w:ascii="Times New Roman" w:hAnsi="Times New Roman" w:cs="Times New Roman"/>
          <w:sz w:val="24"/>
          <w:szCs w:val="24"/>
        </w:rPr>
        <w:t xml:space="preserve">. </w:t>
      </w:r>
      <w:r w:rsidRPr="00A66E3E">
        <w:rPr>
          <w:rFonts w:ascii="Times New Roman" w:hAnsi="Times New Roman" w:cs="Times New Roman"/>
          <w:sz w:val="24"/>
          <w:szCs w:val="24"/>
        </w:rPr>
        <w:t xml:space="preserve"> </w:t>
      </w:r>
      <w:r w:rsidR="0025541E">
        <w:rPr>
          <w:rFonts w:ascii="Times New Roman" w:hAnsi="Times New Roman" w:cs="Times New Roman"/>
          <w:sz w:val="24"/>
          <w:szCs w:val="24"/>
        </w:rPr>
        <w:t>A</w:t>
      </w:r>
      <w:r w:rsidR="0025541E" w:rsidRPr="0025541E">
        <w:rPr>
          <w:rFonts w:ascii="Times New Roman" w:hAnsi="Times New Roman" w:cs="Times New Roman"/>
          <w:sz w:val="24"/>
          <w:szCs w:val="24"/>
        </w:rPr>
        <w:t xml:space="preserve">UTM members can join </w:t>
      </w:r>
      <w:r w:rsidR="0025541E">
        <w:rPr>
          <w:rFonts w:ascii="Times New Roman" w:hAnsi="Times New Roman" w:cs="Times New Roman"/>
          <w:sz w:val="24"/>
          <w:szCs w:val="24"/>
        </w:rPr>
        <w:t>from</w:t>
      </w:r>
      <w:r w:rsidR="0025541E" w:rsidRPr="0025541E">
        <w:rPr>
          <w:rFonts w:ascii="Times New Roman" w:hAnsi="Times New Roman" w:cs="Times New Roman"/>
          <w:sz w:val="24"/>
          <w:szCs w:val="24"/>
        </w:rPr>
        <w:t xml:space="preserve"> the </w:t>
      </w:r>
      <w:r w:rsidR="0025541E">
        <w:rPr>
          <w:rFonts w:ascii="Times New Roman" w:hAnsi="Times New Roman" w:cs="Times New Roman"/>
          <w:sz w:val="24"/>
          <w:szCs w:val="24"/>
        </w:rPr>
        <w:t>“</w:t>
      </w:r>
      <w:r w:rsidR="0025541E" w:rsidRPr="0025541E">
        <w:rPr>
          <w:rFonts w:ascii="Times New Roman" w:hAnsi="Times New Roman" w:cs="Times New Roman"/>
          <w:sz w:val="24"/>
          <w:szCs w:val="24"/>
        </w:rPr>
        <w:t>My Subscriptions</w:t>
      </w:r>
      <w:r w:rsidR="0025541E">
        <w:rPr>
          <w:rFonts w:ascii="Times New Roman" w:hAnsi="Times New Roman" w:cs="Times New Roman"/>
          <w:sz w:val="24"/>
          <w:szCs w:val="24"/>
        </w:rPr>
        <w:t>”</w:t>
      </w:r>
      <w:r w:rsidR="0025541E" w:rsidRPr="0025541E">
        <w:rPr>
          <w:rFonts w:ascii="Times New Roman" w:hAnsi="Times New Roman" w:cs="Times New Roman"/>
          <w:sz w:val="24"/>
          <w:szCs w:val="24"/>
        </w:rPr>
        <w:t xml:space="preserve"> page,</w:t>
      </w:r>
      <w:r w:rsidR="0025541E">
        <w:rPr>
          <w:rFonts w:ascii="Times New Roman" w:hAnsi="Times New Roman" w:cs="Times New Roman"/>
          <w:sz w:val="24"/>
          <w:szCs w:val="24"/>
        </w:rPr>
        <w:t xml:space="preserve"> which can be reached directly at</w:t>
      </w:r>
      <w:r w:rsidR="0025541E" w:rsidRPr="0025541E">
        <w:rPr>
          <w:rFonts w:ascii="Times New Roman" w:hAnsi="Times New Roman" w:cs="Times New Roman"/>
          <w:sz w:val="24"/>
          <w:szCs w:val="24"/>
        </w:rPr>
        <w:t xml:space="preserve"> </w:t>
      </w:r>
      <w:hyperlink r:id="rId8" w:history="1">
        <w:r w:rsidR="0025541E" w:rsidRPr="0025541E">
          <w:rPr>
            <w:rStyle w:val="Hyperlink"/>
            <w:rFonts w:ascii="Times New Roman" w:hAnsi="Times New Roman" w:cs="Times New Roman"/>
            <w:sz w:val="24"/>
            <w:szCs w:val="24"/>
          </w:rPr>
          <w:t>http://community.autm.net/AUTM/Discussions/MySubscriptions</w:t>
        </w:r>
      </w:hyperlink>
      <w:r w:rsidR="0025541E" w:rsidRPr="0025541E">
        <w:rPr>
          <w:rFonts w:ascii="Times New Roman" w:hAnsi="Times New Roman" w:cs="Times New Roman"/>
          <w:color w:val="1F497D" w:themeColor="dark2"/>
          <w:sz w:val="24"/>
          <w:szCs w:val="24"/>
        </w:rPr>
        <w:t xml:space="preserve">. </w:t>
      </w:r>
    </w:p>
    <w:p w:rsidR="00421642" w:rsidRPr="008F333E" w:rsidRDefault="008F333E" w:rsidP="00A66E3E">
      <w:pPr>
        <w:spacing w:after="240" w:line="240" w:lineRule="auto"/>
        <w:rPr>
          <w:rFonts w:ascii="Times New Roman" w:hAnsi="Times New Roman" w:cs="Times New Roman"/>
          <w:sz w:val="24"/>
          <w:szCs w:val="24"/>
        </w:rPr>
      </w:pPr>
      <w:r w:rsidRPr="008F333E">
        <w:rPr>
          <w:rFonts w:ascii="Times New Roman" w:hAnsi="Times New Roman" w:cs="Times New Roman"/>
          <w:sz w:val="24"/>
          <w:szCs w:val="24"/>
        </w:rPr>
        <w:t xml:space="preserve">By endorsing the Model IIA and </w:t>
      </w:r>
      <w:r>
        <w:rPr>
          <w:rFonts w:ascii="Times New Roman" w:hAnsi="Times New Roman" w:cs="Times New Roman"/>
          <w:sz w:val="24"/>
          <w:szCs w:val="24"/>
        </w:rPr>
        <w:t>this</w:t>
      </w:r>
      <w:r w:rsidRPr="008F333E">
        <w:rPr>
          <w:rFonts w:ascii="Times New Roman" w:hAnsi="Times New Roman" w:cs="Times New Roman"/>
          <w:sz w:val="24"/>
          <w:szCs w:val="24"/>
        </w:rPr>
        <w:t xml:space="preserve"> User Guide, research institutions express their commitment to use the </w:t>
      </w:r>
      <w:r w:rsidR="00D745A2">
        <w:rPr>
          <w:rFonts w:ascii="Times New Roman" w:hAnsi="Times New Roman" w:cs="Times New Roman"/>
          <w:sz w:val="24"/>
          <w:szCs w:val="24"/>
        </w:rPr>
        <w:t>Model</w:t>
      </w:r>
      <w:r w:rsidRPr="008F333E">
        <w:rPr>
          <w:rFonts w:ascii="Times New Roman" w:hAnsi="Times New Roman" w:cs="Times New Roman"/>
          <w:sz w:val="24"/>
          <w:szCs w:val="24"/>
        </w:rPr>
        <w:t xml:space="preserve"> IIA as a starting point for negotiations of an Inter-Institutional Agreement for the management of jointly-owned patents if requested by another endorsing institution.</w:t>
      </w:r>
    </w:p>
    <w:p w:rsidR="00311115" w:rsidRPr="00A66E3E" w:rsidRDefault="00917FBB"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It is the intention of the </w:t>
      </w:r>
      <w:r w:rsidR="00421642" w:rsidRPr="00A66E3E">
        <w:rPr>
          <w:rFonts w:ascii="Times New Roman" w:hAnsi="Times New Roman" w:cs="Times New Roman"/>
          <w:sz w:val="24"/>
          <w:szCs w:val="24"/>
        </w:rPr>
        <w:t xml:space="preserve">initial drafters to convene again in </w:t>
      </w:r>
      <w:r w:rsidR="00E71513" w:rsidRPr="00A66E3E">
        <w:rPr>
          <w:rFonts w:ascii="Times New Roman" w:hAnsi="Times New Roman" w:cs="Times New Roman"/>
          <w:sz w:val="24"/>
          <w:szCs w:val="24"/>
        </w:rPr>
        <w:t xml:space="preserve">two years </w:t>
      </w:r>
      <w:r w:rsidR="00421642" w:rsidRPr="00A66E3E">
        <w:rPr>
          <w:rFonts w:ascii="Times New Roman" w:hAnsi="Times New Roman" w:cs="Times New Roman"/>
          <w:sz w:val="24"/>
          <w:szCs w:val="24"/>
        </w:rPr>
        <w:t>to discuss their experience</w:t>
      </w:r>
      <w:r w:rsidR="00896BBB" w:rsidRPr="00A66E3E">
        <w:rPr>
          <w:rFonts w:ascii="Times New Roman" w:hAnsi="Times New Roman" w:cs="Times New Roman"/>
          <w:sz w:val="24"/>
          <w:szCs w:val="24"/>
        </w:rPr>
        <w:t>s</w:t>
      </w:r>
      <w:r w:rsidR="00421642" w:rsidRPr="00A66E3E">
        <w:rPr>
          <w:rFonts w:ascii="Times New Roman" w:hAnsi="Times New Roman" w:cs="Times New Roman"/>
          <w:sz w:val="24"/>
          <w:szCs w:val="24"/>
        </w:rPr>
        <w:t xml:space="preserve"> using the </w:t>
      </w:r>
      <w:r w:rsidR="008F333E">
        <w:rPr>
          <w:rFonts w:ascii="Times New Roman" w:hAnsi="Times New Roman" w:cs="Times New Roman"/>
          <w:sz w:val="24"/>
          <w:szCs w:val="24"/>
        </w:rPr>
        <w:t xml:space="preserve">model </w:t>
      </w:r>
      <w:r w:rsidR="00421642" w:rsidRPr="00A66E3E">
        <w:rPr>
          <w:rFonts w:ascii="Times New Roman" w:hAnsi="Times New Roman" w:cs="Times New Roman"/>
          <w:sz w:val="24"/>
          <w:szCs w:val="24"/>
        </w:rPr>
        <w:t xml:space="preserve">template and review whether any changes are needed. Other endorsing institutions will be invited to participate in that process. </w:t>
      </w:r>
      <w:r w:rsidR="00D4146C" w:rsidRPr="00A66E3E">
        <w:rPr>
          <w:rFonts w:ascii="Times New Roman" w:hAnsi="Times New Roman" w:cs="Times New Roman"/>
          <w:sz w:val="24"/>
          <w:szCs w:val="24"/>
        </w:rPr>
        <w:t xml:space="preserve"> In the meantime, if any institution has questions or comments on the </w:t>
      </w:r>
      <w:r w:rsidR="008F333E">
        <w:rPr>
          <w:rFonts w:ascii="Times New Roman" w:hAnsi="Times New Roman" w:cs="Times New Roman"/>
          <w:sz w:val="24"/>
          <w:szCs w:val="24"/>
        </w:rPr>
        <w:t>Model</w:t>
      </w:r>
      <w:r w:rsidR="00D4146C" w:rsidRPr="00A66E3E">
        <w:rPr>
          <w:rFonts w:ascii="Times New Roman" w:hAnsi="Times New Roman" w:cs="Times New Roman"/>
          <w:sz w:val="24"/>
          <w:szCs w:val="24"/>
        </w:rPr>
        <w:t xml:space="preserve"> IIA, they are encouraged to </w:t>
      </w:r>
      <w:r w:rsidR="005E76D9">
        <w:rPr>
          <w:rFonts w:ascii="Times New Roman" w:hAnsi="Times New Roman" w:cs="Times New Roman"/>
          <w:sz w:val="24"/>
          <w:szCs w:val="24"/>
        </w:rPr>
        <w:t xml:space="preserve">post them on the </w:t>
      </w:r>
      <w:r w:rsidR="00D745A2">
        <w:rPr>
          <w:rFonts w:ascii="Times New Roman" w:hAnsi="Times New Roman" w:cs="Times New Roman"/>
          <w:sz w:val="24"/>
          <w:szCs w:val="24"/>
        </w:rPr>
        <w:t>Model IIA</w:t>
      </w:r>
      <w:r w:rsidR="005E76D9">
        <w:rPr>
          <w:rFonts w:ascii="Times New Roman" w:hAnsi="Times New Roman" w:cs="Times New Roman"/>
          <w:sz w:val="24"/>
          <w:szCs w:val="24"/>
        </w:rPr>
        <w:t xml:space="preserve"> Discussion</w:t>
      </w:r>
      <w:r w:rsidR="00D745A2">
        <w:rPr>
          <w:rFonts w:ascii="Times New Roman" w:hAnsi="Times New Roman" w:cs="Times New Roman"/>
          <w:sz w:val="24"/>
          <w:szCs w:val="24"/>
        </w:rPr>
        <w:t xml:space="preserve"> </w:t>
      </w:r>
      <w:proofErr w:type="spellStart"/>
      <w:r w:rsidR="00D745A2">
        <w:rPr>
          <w:rFonts w:ascii="Times New Roman" w:hAnsi="Times New Roman" w:cs="Times New Roman"/>
          <w:sz w:val="24"/>
          <w:szCs w:val="24"/>
        </w:rPr>
        <w:t>eGroup</w:t>
      </w:r>
      <w:proofErr w:type="spellEnd"/>
      <w:r w:rsidR="005E76D9">
        <w:rPr>
          <w:rFonts w:ascii="Times New Roman" w:hAnsi="Times New Roman" w:cs="Times New Roman"/>
          <w:sz w:val="24"/>
          <w:szCs w:val="24"/>
        </w:rPr>
        <w:t xml:space="preserve"> on the AUTM website</w:t>
      </w:r>
      <w:r w:rsidR="00D4146C" w:rsidRPr="00A66E3E">
        <w:rPr>
          <w:rFonts w:ascii="Times New Roman" w:hAnsi="Times New Roman" w:cs="Times New Roman"/>
          <w:sz w:val="24"/>
          <w:szCs w:val="24"/>
        </w:rPr>
        <w:t xml:space="preserve">. </w:t>
      </w:r>
      <w:r w:rsidR="00311115" w:rsidRPr="00A66E3E">
        <w:rPr>
          <w:rFonts w:ascii="Times New Roman" w:hAnsi="Times New Roman" w:cs="Times New Roman"/>
          <w:sz w:val="24"/>
          <w:szCs w:val="24"/>
        </w:rPr>
        <w:t xml:space="preserve"> </w:t>
      </w:r>
    </w:p>
    <w:p w:rsidR="00072797" w:rsidRPr="00A66E3E" w:rsidRDefault="00072797" w:rsidP="00A66E3E">
      <w:pPr>
        <w:spacing w:after="240" w:line="240" w:lineRule="auto"/>
        <w:rPr>
          <w:rFonts w:ascii="Times New Roman" w:hAnsi="Times New Roman" w:cs="Times New Roman"/>
          <w:b/>
          <w:sz w:val="24"/>
          <w:szCs w:val="24"/>
        </w:rPr>
      </w:pPr>
      <w:r w:rsidRPr="00A66E3E">
        <w:rPr>
          <w:rFonts w:ascii="Times New Roman" w:hAnsi="Times New Roman" w:cs="Times New Roman"/>
          <w:b/>
          <w:sz w:val="24"/>
          <w:szCs w:val="24"/>
          <w:u w:val="single"/>
        </w:rPr>
        <w:t xml:space="preserve">Important Elements of the </w:t>
      </w:r>
      <w:r w:rsidR="008F333E">
        <w:rPr>
          <w:rFonts w:ascii="Times New Roman" w:hAnsi="Times New Roman" w:cs="Times New Roman"/>
          <w:b/>
          <w:sz w:val="24"/>
          <w:szCs w:val="24"/>
          <w:u w:val="single"/>
        </w:rPr>
        <w:t>Model</w:t>
      </w:r>
      <w:r w:rsidRPr="00A66E3E">
        <w:rPr>
          <w:rFonts w:ascii="Times New Roman" w:hAnsi="Times New Roman" w:cs="Times New Roman"/>
          <w:b/>
          <w:sz w:val="24"/>
          <w:szCs w:val="24"/>
          <w:u w:val="single"/>
        </w:rPr>
        <w:t xml:space="preserve"> IIA</w:t>
      </w:r>
    </w:p>
    <w:p w:rsidR="00917FBB" w:rsidRPr="00A66E3E" w:rsidRDefault="00917FBB"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The following </w:t>
      </w:r>
      <w:r w:rsidR="00C12B0A" w:rsidRPr="00A66E3E">
        <w:rPr>
          <w:rFonts w:ascii="Times New Roman" w:hAnsi="Times New Roman" w:cs="Times New Roman"/>
          <w:sz w:val="24"/>
          <w:szCs w:val="24"/>
        </w:rPr>
        <w:t xml:space="preserve">describes some important elements of the </w:t>
      </w:r>
      <w:r w:rsidR="008F333E">
        <w:rPr>
          <w:rFonts w:ascii="Times New Roman" w:hAnsi="Times New Roman" w:cs="Times New Roman"/>
          <w:sz w:val="24"/>
          <w:szCs w:val="24"/>
        </w:rPr>
        <w:t>Model</w:t>
      </w:r>
      <w:r w:rsidR="00C12B0A" w:rsidRPr="00A66E3E">
        <w:rPr>
          <w:rFonts w:ascii="Times New Roman" w:hAnsi="Times New Roman" w:cs="Times New Roman"/>
          <w:sz w:val="24"/>
          <w:szCs w:val="24"/>
        </w:rPr>
        <w:t xml:space="preserve"> II</w:t>
      </w:r>
      <w:r w:rsidR="009A2E94" w:rsidRPr="00A66E3E">
        <w:rPr>
          <w:rFonts w:ascii="Times New Roman" w:hAnsi="Times New Roman" w:cs="Times New Roman"/>
          <w:sz w:val="24"/>
          <w:szCs w:val="24"/>
        </w:rPr>
        <w:t>A, and highlights areas where the template</w:t>
      </w:r>
      <w:r w:rsidR="00C12B0A" w:rsidRPr="00A66E3E">
        <w:rPr>
          <w:rFonts w:ascii="Times New Roman" w:hAnsi="Times New Roman" w:cs="Times New Roman"/>
          <w:sz w:val="24"/>
          <w:szCs w:val="24"/>
        </w:rPr>
        <w:t xml:space="preserve"> may need to be customized for particular circumstances. </w:t>
      </w:r>
    </w:p>
    <w:p w:rsidR="00E71513" w:rsidRPr="00A66E3E" w:rsidRDefault="00072797"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Document Format</w:t>
      </w:r>
      <w:r w:rsidRPr="00A66E3E">
        <w:rPr>
          <w:rFonts w:ascii="Times New Roman" w:hAnsi="Times New Roman" w:cs="Times New Roman"/>
          <w:sz w:val="24"/>
          <w:szCs w:val="24"/>
        </w:rPr>
        <w:t xml:space="preserve">. The document is formatted so that if there are no changes in the standard terms and conditions (part 2), </w:t>
      </w:r>
      <w:r w:rsidR="00311115" w:rsidRPr="00A66E3E">
        <w:rPr>
          <w:rFonts w:ascii="Times New Roman" w:hAnsi="Times New Roman" w:cs="Times New Roman"/>
          <w:sz w:val="24"/>
          <w:szCs w:val="24"/>
        </w:rPr>
        <w:t xml:space="preserve">all that is needed to complete the agreement is for </w:t>
      </w:r>
      <w:r w:rsidRPr="00A66E3E">
        <w:rPr>
          <w:rFonts w:ascii="Times New Roman" w:hAnsi="Times New Roman" w:cs="Times New Roman"/>
          <w:sz w:val="24"/>
          <w:szCs w:val="24"/>
        </w:rPr>
        <w:t xml:space="preserve">the parties </w:t>
      </w:r>
      <w:r w:rsidR="00311115" w:rsidRPr="00A66E3E">
        <w:rPr>
          <w:rFonts w:ascii="Times New Roman" w:hAnsi="Times New Roman" w:cs="Times New Roman"/>
          <w:sz w:val="24"/>
          <w:szCs w:val="24"/>
        </w:rPr>
        <w:t>to:</w:t>
      </w:r>
      <w:r w:rsidRPr="00A66E3E">
        <w:rPr>
          <w:rFonts w:ascii="Times New Roman" w:hAnsi="Times New Roman" w:cs="Times New Roman"/>
          <w:sz w:val="24"/>
          <w:szCs w:val="24"/>
        </w:rPr>
        <w:t xml:space="preserve"> fill in the table at the beginning of the document with the identity of the parties and other transaction-specific terms (part 1)</w:t>
      </w:r>
      <w:r w:rsidR="00311115" w:rsidRPr="00A66E3E">
        <w:rPr>
          <w:rFonts w:ascii="Times New Roman" w:hAnsi="Times New Roman" w:cs="Times New Roman"/>
          <w:sz w:val="24"/>
          <w:szCs w:val="24"/>
        </w:rPr>
        <w:t>;</w:t>
      </w:r>
      <w:r w:rsidRPr="00A66E3E">
        <w:rPr>
          <w:rFonts w:ascii="Times New Roman" w:hAnsi="Times New Roman" w:cs="Times New Roman"/>
          <w:sz w:val="24"/>
          <w:szCs w:val="24"/>
        </w:rPr>
        <w:t xml:space="preserve"> customize the signature blocks</w:t>
      </w:r>
      <w:r w:rsidR="00311115" w:rsidRPr="00A66E3E">
        <w:rPr>
          <w:rFonts w:ascii="Times New Roman" w:hAnsi="Times New Roman" w:cs="Times New Roman"/>
          <w:sz w:val="24"/>
          <w:szCs w:val="24"/>
        </w:rPr>
        <w:t xml:space="preserve">; </w:t>
      </w:r>
      <w:r w:rsidRPr="00A66E3E">
        <w:rPr>
          <w:rFonts w:ascii="Times New Roman" w:hAnsi="Times New Roman" w:cs="Times New Roman"/>
          <w:sz w:val="24"/>
          <w:szCs w:val="24"/>
        </w:rPr>
        <w:t>and have the non-lead institution provide Exhibit A (its requirements for a license agreement)</w:t>
      </w:r>
      <w:r w:rsidR="00311115" w:rsidRPr="00A66E3E">
        <w:rPr>
          <w:rFonts w:ascii="Times New Roman" w:hAnsi="Times New Roman" w:cs="Times New Roman"/>
          <w:sz w:val="24"/>
          <w:szCs w:val="24"/>
        </w:rPr>
        <w:t xml:space="preserve">. </w:t>
      </w:r>
      <w:r w:rsidR="00E71513" w:rsidRPr="00A66E3E">
        <w:rPr>
          <w:rFonts w:ascii="Times New Roman" w:hAnsi="Times New Roman" w:cs="Times New Roman"/>
          <w:sz w:val="24"/>
          <w:szCs w:val="24"/>
        </w:rPr>
        <w:t xml:space="preserve"> Each endorsing institution is encouraged to customize the sample Exhibit A provided or create its own Exhibit A to reflect its specific license agreement requirements.</w:t>
      </w:r>
    </w:p>
    <w:p w:rsidR="00E71513" w:rsidRPr="00A66E3E" w:rsidRDefault="00E71513" w:rsidP="008A401B">
      <w:pPr>
        <w:pStyle w:val="ListParagraph"/>
        <w:spacing w:after="240" w:line="240" w:lineRule="auto"/>
        <w:rPr>
          <w:rFonts w:ascii="Times New Roman" w:hAnsi="Times New Roman" w:cs="Times New Roman"/>
          <w:sz w:val="24"/>
          <w:szCs w:val="24"/>
        </w:rPr>
      </w:pPr>
    </w:p>
    <w:p w:rsidR="00072797" w:rsidRPr="00A66E3E" w:rsidRDefault="00E71513"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lastRenderedPageBreak/>
        <w:t>Customization of Terms and Conditions</w:t>
      </w:r>
      <w:r w:rsidRPr="00A66E3E">
        <w:rPr>
          <w:rFonts w:ascii="Times New Roman" w:hAnsi="Times New Roman" w:cs="Times New Roman"/>
          <w:sz w:val="24"/>
          <w:szCs w:val="24"/>
        </w:rPr>
        <w:t xml:space="preserve">. </w:t>
      </w:r>
      <w:r w:rsidR="00311115" w:rsidRPr="00A66E3E">
        <w:rPr>
          <w:rFonts w:ascii="Times New Roman" w:hAnsi="Times New Roman" w:cs="Times New Roman"/>
          <w:sz w:val="24"/>
          <w:szCs w:val="24"/>
        </w:rPr>
        <w:t>If the parties decide</w:t>
      </w:r>
      <w:r w:rsidR="00072797" w:rsidRPr="00A66E3E">
        <w:rPr>
          <w:rFonts w:ascii="Times New Roman" w:hAnsi="Times New Roman" w:cs="Times New Roman"/>
          <w:sz w:val="24"/>
          <w:szCs w:val="24"/>
        </w:rPr>
        <w:t xml:space="preserve"> to customize </w:t>
      </w:r>
      <w:r w:rsidR="00311115" w:rsidRPr="00A66E3E">
        <w:rPr>
          <w:rFonts w:ascii="Times New Roman" w:hAnsi="Times New Roman" w:cs="Times New Roman"/>
          <w:sz w:val="24"/>
          <w:szCs w:val="24"/>
        </w:rPr>
        <w:t xml:space="preserve">any of </w:t>
      </w:r>
      <w:r w:rsidR="00072797" w:rsidRPr="00A66E3E">
        <w:rPr>
          <w:rFonts w:ascii="Times New Roman" w:hAnsi="Times New Roman" w:cs="Times New Roman"/>
          <w:sz w:val="24"/>
          <w:szCs w:val="24"/>
        </w:rPr>
        <w:t>the standard terms and conditions</w:t>
      </w:r>
      <w:r w:rsidR="00311115" w:rsidRPr="00A66E3E">
        <w:rPr>
          <w:rFonts w:ascii="Times New Roman" w:hAnsi="Times New Roman" w:cs="Times New Roman"/>
          <w:sz w:val="24"/>
          <w:szCs w:val="24"/>
        </w:rPr>
        <w:t xml:space="preserve"> (part 2)</w:t>
      </w:r>
      <w:r w:rsidR="00072797" w:rsidRPr="00A66E3E">
        <w:rPr>
          <w:rFonts w:ascii="Times New Roman" w:hAnsi="Times New Roman" w:cs="Times New Roman"/>
          <w:sz w:val="24"/>
          <w:szCs w:val="24"/>
        </w:rPr>
        <w:t xml:space="preserve">, </w:t>
      </w:r>
      <w:r w:rsidR="009A2E94" w:rsidRPr="00A66E3E">
        <w:rPr>
          <w:rFonts w:ascii="Times New Roman" w:hAnsi="Times New Roman" w:cs="Times New Roman"/>
          <w:sz w:val="24"/>
          <w:szCs w:val="24"/>
        </w:rPr>
        <w:t xml:space="preserve">they should </w:t>
      </w:r>
      <w:r w:rsidR="00896BBB" w:rsidRPr="00A66E3E">
        <w:rPr>
          <w:rFonts w:ascii="Times New Roman" w:hAnsi="Times New Roman" w:cs="Times New Roman"/>
          <w:sz w:val="24"/>
          <w:szCs w:val="24"/>
        </w:rPr>
        <w:t xml:space="preserve">indicate which paragraphs have been changed </w:t>
      </w:r>
      <w:r w:rsidR="00072797" w:rsidRPr="00A66E3E">
        <w:rPr>
          <w:rFonts w:ascii="Times New Roman" w:hAnsi="Times New Roman" w:cs="Times New Roman"/>
          <w:sz w:val="24"/>
          <w:szCs w:val="24"/>
        </w:rPr>
        <w:t xml:space="preserve">in the </w:t>
      </w:r>
      <w:r w:rsidR="00896BBB" w:rsidRPr="00A66E3E">
        <w:rPr>
          <w:rFonts w:ascii="Times New Roman" w:hAnsi="Times New Roman" w:cs="Times New Roman"/>
          <w:sz w:val="24"/>
          <w:szCs w:val="24"/>
        </w:rPr>
        <w:t>“Changes in General Terms” section of</w:t>
      </w:r>
      <w:r w:rsidR="00072797" w:rsidRPr="00A66E3E">
        <w:rPr>
          <w:rFonts w:ascii="Times New Roman" w:hAnsi="Times New Roman" w:cs="Times New Roman"/>
          <w:sz w:val="24"/>
          <w:szCs w:val="24"/>
        </w:rPr>
        <w:t xml:space="preserve"> part 1.</w:t>
      </w:r>
      <w:r w:rsidR="00BA55B0" w:rsidRPr="00A66E3E">
        <w:rPr>
          <w:rFonts w:ascii="Times New Roman" w:hAnsi="Times New Roman" w:cs="Times New Roman"/>
          <w:sz w:val="24"/>
          <w:szCs w:val="24"/>
        </w:rPr>
        <w:t xml:space="preserve"> </w:t>
      </w:r>
      <w:r w:rsidR="00FC31C0" w:rsidRPr="00A66E3E">
        <w:rPr>
          <w:rFonts w:ascii="Times New Roman" w:hAnsi="Times New Roman" w:cs="Times New Roman"/>
          <w:sz w:val="24"/>
          <w:szCs w:val="24"/>
        </w:rPr>
        <w:t>In addition, the party preparing</w:t>
      </w:r>
      <w:r w:rsidR="00BA55B0" w:rsidRPr="00A66E3E">
        <w:rPr>
          <w:rFonts w:ascii="Times New Roman" w:hAnsi="Times New Roman" w:cs="Times New Roman"/>
          <w:sz w:val="24"/>
          <w:szCs w:val="24"/>
        </w:rPr>
        <w:t xml:space="preserve"> the first draft should provide </w:t>
      </w:r>
      <w:r w:rsidR="00FC31C0" w:rsidRPr="00A66E3E">
        <w:rPr>
          <w:rFonts w:ascii="Times New Roman" w:hAnsi="Times New Roman" w:cs="Times New Roman"/>
          <w:sz w:val="24"/>
          <w:szCs w:val="24"/>
        </w:rPr>
        <w:t xml:space="preserve">the other party </w:t>
      </w:r>
      <w:r w:rsidR="0078173B" w:rsidRPr="00A66E3E">
        <w:rPr>
          <w:rFonts w:ascii="Times New Roman" w:hAnsi="Times New Roman" w:cs="Times New Roman"/>
          <w:sz w:val="24"/>
          <w:szCs w:val="24"/>
        </w:rPr>
        <w:t xml:space="preserve">with </w:t>
      </w:r>
      <w:proofErr w:type="gramStart"/>
      <w:r w:rsidR="00BA55B0" w:rsidRPr="00A66E3E">
        <w:rPr>
          <w:rFonts w:ascii="Times New Roman" w:hAnsi="Times New Roman" w:cs="Times New Roman"/>
          <w:sz w:val="24"/>
          <w:szCs w:val="24"/>
        </w:rPr>
        <w:t>a redline</w:t>
      </w:r>
      <w:proofErr w:type="gramEnd"/>
      <w:r w:rsidR="00BA55B0" w:rsidRPr="00A66E3E">
        <w:rPr>
          <w:rFonts w:ascii="Times New Roman" w:hAnsi="Times New Roman" w:cs="Times New Roman"/>
          <w:sz w:val="24"/>
          <w:szCs w:val="24"/>
        </w:rPr>
        <w:t xml:space="preserve"> </w:t>
      </w:r>
      <w:r w:rsidR="0078173B" w:rsidRPr="00A66E3E">
        <w:rPr>
          <w:rFonts w:ascii="Times New Roman" w:hAnsi="Times New Roman" w:cs="Times New Roman"/>
          <w:sz w:val="24"/>
          <w:szCs w:val="24"/>
        </w:rPr>
        <w:t xml:space="preserve">to show changes made from the </w:t>
      </w:r>
      <w:r w:rsidR="00BA55B0" w:rsidRPr="00A66E3E">
        <w:rPr>
          <w:rFonts w:ascii="Times New Roman" w:hAnsi="Times New Roman" w:cs="Times New Roman"/>
          <w:sz w:val="24"/>
          <w:szCs w:val="24"/>
        </w:rPr>
        <w:t>template.</w:t>
      </w:r>
      <w:r w:rsidR="003F6B22" w:rsidRPr="00A66E3E">
        <w:rPr>
          <w:rFonts w:ascii="Times New Roman" w:hAnsi="Times New Roman" w:cs="Times New Roman"/>
          <w:sz w:val="24"/>
          <w:szCs w:val="24"/>
        </w:rPr>
        <w:t xml:space="preserve"> </w:t>
      </w:r>
      <w:r w:rsidR="00072797" w:rsidRPr="00A66E3E">
        <w:rPr>
          <w:rFonts w:ascii="Times New Roman" w:hAnsi="Times New Roman" w:cs="Times New Roman"/>
          <w:sz w:val="24"/>
          <w:szCs w:val="24"/>
        </w:rPr>
        <w:t xml:space="preserve"> </w:t>
      </w:r>
    </w:p>
    <w:p w:rsidR="00F03CF2" w:rsidRPr="00A66E3E" w:rsidRDefault="00F03CF2" w:rsidP="00A66E3E">
      <w:pPr>
        <w:pStyle w:val="ListParagraph"/>
        <w:spacing w:after="240" w:line="240" w:lineRule="auto"/>
        <w:rPr>
          <w:rFonts w:ascii="Times New Roman" w:hAnsi="Times New Roman" w:cs="Times New Roman"/>
          <w:sz w:val="24"/>
          <w:szCs w:val="24"/>
        </w:rPr>
      </w:pPr>
    </w:p>
    <w:p w:rsidR="00421642" w:rsidRPr="00A66E3E" w:rsidRDefault="00C12B0A"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Only patent rights covered</w:t>
      </w:r>
      <w:r w:rsidRPr="00A66E3E">
        <w:rPr>
          <w:rFonts w:ascii="Times New Roman" w:hAnsi="Times New Roman" w:cs="Times New Roman"/>
          <w:sz w:val="24"/>
          <w:szCs w:val="24"/>
        </w:rPr>
        <w:t xml:space="preserve">. </w:t>
      </w:r>
      <w:r w:rsidR="00917FBB" w:rsidRPr="00A66E3E">
        <w:rPr>
          <w:rFonts w:ascii="Times New Roman" w:hAnsi="Times New Roman" w:cs="Times New Roman"/>
          <w:sz w:val="24"/>
          <w:szCs w:val="24"/>
        </w:rPr>
        <w:t xml:space="preserve">The </w:t>
      </w:r>
      <w:r w:rsidR="008F333E">
        <w:rPr>
          <w:rFonts w:ascii="Times New Roman" w:hAnsi="Times New Roman" w:cs="Times New Roman"/>
          <w:sz w:val="24"/>
          <w:szCs w:val="24"/>
        </w:rPr>
        <w:t>Model</w:t>
      </w:r>
      <w:r w:rsidR="00421642" w:rsidRPr="00A66E3E">
        <w:rPr>
          <w:rFonts w:ascii="Times New Roman" w:hAnsi="Times New Roman" w:cs="Times New Roman"/>
          <w:sz w:val="24"/>
          <w:szCs w:val="24"/>
        </w:rPr>
        <w:t xml:space="preserve"> IIA only covers the joint management of patent rights. It does not encompass know how or technology rights, software, materials or other</w:t>
      </w:r>
      <w:r w:rsidR="00072797" w:rsidRPr="00A66E3E">
        <w:rPr>
          <w:rFonts w:ascii="Times New Roman" w:hAnsi="Times New Roman" w:cs="Times New Roman"/>
          <w:sz w:val="24"/>
          <w:szCs w:val="24"/>
        </w:rPr>
        <w:t xml:space="preserve"> forms of intellectual property. The </w:t>
      </w:r>
      <w:r w:rsidR="008F333E">
        <w:rPr>
          <w:rFonts w:ascii="Times New Roman" w:hAnsi="Times New Roman" w:cs="Times New Roman"/>
          <w:sz w:val="24"/>
          <w:szCs w:val="24"/>
        </w:rPr>
        <w:t>Model</w:t>
      </w:r>
      <w:r w:rsidR="00072797" w:rsidRPr="00A66E3E">
        <w:rPr>
          <w:rFonts w:ascii="Times New Roman" w:hAnsi="Times New Roman" w:cs="Times New Roman"/>
          <w:sz w:val="24"/>
          <w:szCs w:val="24"/>
        </w:rPr>
        <w:t xml:space="preserve"> IIA requires customization to accommodate anything beyond patent rights.</w:t>
      </w:r>
    </w:p>
    <w:p w:rsidR="004E1DF2" w:rsidRPr="00A66E3E" w:rsidRDefault="004E1DF2" w:rsidP="00A66E3E">
      <w:pPr>
        <w:pStyle w:val="ListParagraph"/>
        <w:spacing w:after="240" w:line="240" w:lineRule="auto"/>
        <w:rPr>
          <w:rFonts w:ascii="Times New Roman" w:hAnsi="Times New Roman" w:cs="Times New Roman"/>
          <w:sz w:val="24"/>
          <w:szCs w:val="24"/>
        </w:rPr>
      </w:pPr>
    </w:p>
    <w:p w:rsidR="00BA55B0" w:rsidRPr="00A66E3E" w:rsidRDefault="00BA55B0" w:rsidP="00A66E3E">
      <w:pPr>
        <w:pStyle w:val="ListParagraph"/>
        <w:numPr>
          <w:ilvl w:val="0"/>
          <w:numId w:val="1"/>
        </w:numPr>
        <w:spacing w:after="240" w:line="240" w:lineRule="auto"/>
        <w:rPr>
          <w:rFonts w:ascii="Times New Roman" w:hAnsi="Times New Roman" w:cs="Times New Roman"/>
          <w:sz w:val="24"/>
          <w:szCs w:val="24"/>
          <w:u w:val="single"/>
        </w:rPr>
      </w:pPr>
      <w:r w:rsidRPr="00A66E3E">
        <w:rPr>
          <w:rFonts w:ascii="Times New Roman" w:hAnsi="Times New Roman" w:cs="Times New Roman"/>
          <w:sz w:val="24"/>
          <w:szCs w:val="24"/>
          <w:u w:val="single"/>
        </w:rPr>
        <w:t>Administrati</w:t>
      </w:r>
      <w:r w:rsidR="00A05BC1" w:rsidRPr="00A66E3E">
        <w:rPr>
          <w:rFonts w:ascii="Times New Roman" w:hAnsi="Times New Roman" w:cs="Times New Roman"/>
          <w:sz w:val="24"/>
          <w:szCs w:val="24"/>
          <w:u w:val="single"/>
        </w:rPr>
        <w:t>on</w:t>
      </w:r>
      <w:r w:rsidRPr="00A66E3E">
        <w:rPr>
          <w:rFonts w:ascii="Times New Roman" w:hAnsi="Times New Roman" w:cs="Times New Roman"/>
          <w:sz w:val="24"/>
          <w:szCs w:val="24"/>
          <w:u w:val="single"/>
        </w:rPr>
        <w:t xml:space="preserve"> Fee</w:t>
      </w:r>
      <w:r w:rsidR="001E0672">
        <w:rPr>
          <w:rFonts w:ascii="Times New Roman" w:hAnsi="Times New Roman" w:cs="Times New Roman"/>
          <w:sz w:val="24"/>
          <w:szCs w:val="24"/>
          <w:u w:val="single"/>
        </w:rPr>
        <w:t xml:space="preserve"> (paragraphs 1 and 4.2(b))</w:t>
      </w:r>
      <w:r w:rsidRPr="00A66E3E">
        <w:rPr>
          <w:rFonts w:ascii="Times New Roman" w:hAnsi="Times New Roman" w:cs="Times New Roman"/>
          <w:sz w:val="24"/>
          <w:szCs w:val="24"/>
        </w:rPr>
        <w:t xml:space="preserve">. There is significant divergence among research institutions’ common practices regarding assessing administrative fees by the lead party.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IIA accommodates this divergence of practices by including a place to include an administrative fee if one is to be applied, but allowing for circumstances where there is none. If there is none, then the parties simply need to include the word “None” in the “Administration Fee” section in part 1 and no further modification is required in the document.</w:t>
      </w:r>
      <w:r w:rsidR="00A05BC1" w:rsidRPr="00A66E3E">
        <w:rPr>
          <w:rFonts w:ascii="Times New Roman" w:hAnsi="Times New Roman" w:cs="Times New Roman"/>
          <w:sz w:val="24"/>
          <w:szCs w:val="24"/>
        </w:rPr>
        <w:t xml:space="preserve"> In cases where th</w:t>
      </w:r>
      <w:r w:rsidR="0025541E">
        <w:rPr>
          <w:rFonts w:ascii="Times New Roman" w:hAnsi="Times New Roman" w:cs="Times New Roman"/>
          <w:sz w:val="24"/>
          <w:szCs w:val="24"/>
        </w:rPr>
        <w:t>ere</w:t>
      </w:r>
      <w:r w:rsidR="00A05BC1" w:rsidRPr="00A66E3E">
        <w:rPr>
          <w:rFonts w:ascii="Times New Roman" w:hAnsi="Times New Roman" w:cs="Times New Roman"/>
          <w:sz w:val="24"/>
          <w:szCs w:val="24"/>
        </w:rPr>
        <w:t xml:space="preserve"> is an Administration Fee, the template provides that it is calculated after gross revenues are reduced by unreimbursed patent expenses. Some institutions calculate the Administration Fee before accounting for the reimbursement of patent expenses. For lead institutions that calculate it this way, adjustments need to be made in the language in the definition of Administration Fee (Section 1) and in paragraph </w:t>
      </w:r>
      <w:r w:rsidR="00872414" w:rsidRPr="00A66E3E">
        <w:rPr>
          <w:rFonts w:ascii="Times New Roman" w:hAnsi="Times New Roman" w:cs="Times New Roman"/>
          <w:sz w:val="24"/>
          <w:szCs w:val="24"/>
        </w:rPr>
        <w:t>4.2(b) (by re</w:t>
      </w:r>
      <w:r w:rsidR="001E0672">
        <w:rPr>
          <w:rFonts w:ascii="Times New Roman" w:hAnsi="Times New Roman" w:cs="Times New Roman"/>
          <w:sz w:val="24"/>
          <w:szCs w:val="24"/>
        </w:rPr>
        <w:t>versing</w:t>
      </w:r>
      <w:r w:rsidR="00872414" w:rsidRPr="00A66E3E">
        <w:rPr>
          <w:rFonts w:ascii="Times New Roman" w:hAnsi="Times New Roman" w:cs="Times New Roman"/>
          <w:sz w:val="24"/>
          <w:szCs w:val="24"/>
        </w:rPr>
        <w:t xml:space="preserve"> the order so that the Administration Fee is paid first).</w:t>
      </w:r>
      <w:r w:rsidR="00A05BC1" w:rsidRPr="00A66E3E">
        <w:rPr>
          <w:rFonts w:ascii="Times New Roman" w:hAnsi="Times New Roman" w:cs="Times New Roman"/>
          <w:sz w:val="24"/>
          <w:szCs w:val="24"/>
        </w:rPr>
        <w:t xml:space="preserve"> </w:t>
      </w:r>
    </w:p>
    <w:p w:rsidR="00BA55B0" w:rsidRPr="00A66E3E" w:rsidRDefault="00BA55B0" w:rsidP="00A66E3E">
      <w:pPr>
        <w:pStyle w:val="ListParagraph"/>
        <w:spacing w:after="240" w:line="240" w:lineRule="auto"/>
        <w:rPr>
          <w:rFonts w:ascii="Times New Roman" w:hAnsi="Times New Roman" w:cs="Times New Roman"/>
          <w:sz w:val="24"/>
          <w:szCs w:val="24"/>
          <w:u w:val="single"/>
        </w:rPr>
      </w:pPr>
    </w:p>
    <w:p w:rsidR="00BA55B0" w:rsidRPr="00BD0121" w:rsidRDefault="00BA55B0" w:rsidP="00A66E3E">
      <w:pPr>
        <w:pStyle w:val="ListParagraph"/>
        <w:numPr>
          <w:ilvl w:val="0"/>
          <w:numId w:val="1"/>
        </w:numPr>
        <w:spacing w:after="240" w:line="240" w:lineRule="auto"/>
        <w:rPr>
          <w:rFonts w:ascii="Times New Roman" w:hAnsi="Times New Roman" w:cs="Times New Roman"/>
          <w:sz w:val="24"/>
          <w:szCs w:val="24"/>
        </w:rPr>
      </w:pPr>
      <w:r w:rsidRPr="00BD0121">
        <w:rPr>
          <w:rFonts w:ascii="Times New Roman" w:hAnsi="Times New Roman" w:cs="Times New Roman"/>
          <w:sz w:val="24"/>
          <w:szCs w:val="24"/>
          <w:u w:val="single"/>
        </w:rPr>
        <w:t>Approval of Patent Counsel</w:t>
      </w:r>
      <w:r w:rsidR="001E0672" w:rsidRPr="00BD0121">
        <w:rPr>
          <w:rFonts w:ascii="Times New Roman" w:hAnsi="Times New Roman" w:cs="Times New Roman"/>
          <w:sz w:val="24"/>
          <w:szCs w:val="24"/>
          <w:u w:val="single"/>
        </w:rPr>
        <w:t xml:space="preserve"> (paragraph 2.1)</w:t>
      </w:r>
      <w:r w:rsidRPr="00BD0121">
        <w:rPr>
          <w:rFonts w:ascii="Times New Roman" w:hAnsi="Times New Roman" w:cs="Times New Roman"/>
          <w:sz w:val="24"/>
          <w:szCs w:val="24"/>
        </w:rPr>
        <w:t xml:space="preserve">. The template </w:t>
      </w:r>
      <w:r w:rsidR="001E0672" w:rsidRPr="00BD0121">
        <w:rPr>
          <w:rFonts w:ascii="Times New Roman" w:hAnsi="Times New Roman" w:cs="Times New Roman"/>
          <w:sz w:val="24"/>
          <w:szCs w:val="24"/>
        </w:rPr>
        <w:t xml:space="preserve">leaves selection of patent counsel with the lead party. If a non-lead requires </w:t>
      </w:r>
      <w:r w:rsidRPr="00BD0121">
        <w:rPr>
          <w:rFonts w:ascii="Times New Roman" w:hAnsi="Times New Roman" w:cs="Times New Roman"/>
          <w:sz w:val="24"/>
          <w:szCs w:val="24"/>
        </w:rPr>
        <w:t>approval rights</w:t>
      </w:r>
      <w:r w:rsidR="001E0672" w:rsidRPr="00BD0121">
        <w:rPr>
          <w:rFonts w:ascii="Times New Roman" w:hAnsi="Times New Roman" w:cs="Times New Roman"/>
          <w:sz w:val="24"/>
          <w:szCs w:val="24"/>
        </w:rPr>
        <w:t xml:space="preserve"> over selection of counsel</w:t>
      </w:r>
      <w:r w:rsidRPr="00BD0121">
        <w:rPr>
          <w:rFonts w:ascii="Times New Roman" w:hAnsi="Times New Roman" w:cs="Times New Roman"/>
          <w:sz w:val="24"/>
          <w:szCs w:val="24"/>
        </w:rPr>
        <w:t>,</w:t>
      </w:r>
      <w:r w:rsidR="00872414" w:rsidRPr="00BD0121">
        <w:rPr>
          <w:rFonts w:ascii="Times New Roman" w:hAnsi="Times New Roman" w:cs="Times New Roman"/>
          <w:sz w:val="24"/>
          <w:szCs w:val="24"/>
        </w:rPr>
        <w:t xml:space="preserve"> that should be indicated </w:t>
      </w:r>
      <w:r w:rsidR="00FC31C0" w:rsidRPr="00BD0121">
        <w:rPr>
          <w:rFonts w:ascii="Times New Roman" w:hAnsi="Times New Roman" w:cs="Times New Roman"/>
          <w:sz w:val="24"/>
          <w:szCs w:val="24"/>
        </w:rPr>
        <w:t xml:space="preserve">in paragraph 2.1. </w:t>
      </w:r>
      <w:r w:rsidRPr="00BD0121">
        <w:rPr>
          <w:rFonts w:ascii="Times New Roman" w:hAnsi="Times New Roman" w:cs="Times New Roman"/>
          <w:sz w:val="24"/>
          <w:szCs w:val="24"/>
        </w:rPr>
        <w:t xml:space="preserve"> </w:t>
      </w:r>
    </w:p>
    <w:p w:rsidR="00BA55B0" w:rsidRPr="00BD0121" w:rsidRDefault="00BA55B0" w:rsidP="00A66E3E">
      <w:pPr>
        <w:pStyle w:val="ListParagraph"/>
        <w:spacing w:after="240" w:line="240" w:lineRule="auto"/>
        <w:rPr>
          <w:rFonts w:ascii="Times New Roman" w:hAnsi="Times New Roman" w:cs="Times New Roman"/>
          <w:sz w:val="24"/>
          <w:szCs w:val="24"/>
        </w:rPr>
      </w:pPr>
    </w:p>
    <w:p w:rsidR="00BA55B0" w:rsidRPr="00A66E3E" w:rsidRDefault="00BA55B0"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Consequences of not paying</w:t>
      </w:r>
      <w:r w:rsidR="001E0672">
        <w:rPr>
          <w:rFonts w:ascii="Times New Roman" w:hAnsi="Times New Roman" w:cs="Times New Roman"/>
          <w:sz w:val="24"/>
          <w:szCs w:val="24"/>
          <w:u w:val="single"/>
        </w:rPr>
        <w:t xml:space="preserve"> (paragraph 2.4)</w:t>
      </w:r>
      <w:r w:rsidRPr="00A66E3E">
        <w:rPr>
          <w:rFonts w:ascii="Times New Roman" w:hAnsi="Times New Roman" w:cs="Times New Roman"/>
          <w:sz w:val="24"/>
          <w:szCs w:val="24"/>
        </w:rPr>
        <w:t xml:space="preserve">. There is a significant divergence among research institutions’ common practices regarding the consequences of a party withdrawing from paying its agreed-upon portion of </w:t>
      </w:r>
      <w:r w:rsidR="0092619C" w:rsidRPr="00A66E3E">
        <w:rPr>
          <w:rFonts w:ascii="Times New Roman" w:hAnsi="Times New Roman" w:cs="Times New Roman"/>
          <w:sz w:val="24"/>
          <w:szCs w:val="24"/>
        </w:rPr>
        <w:t xml:space="preserve">patent </w:t>
      </w:r>
      <w:r w:rsidRPr="00A66E3E">
        <w:rPr>
          <w:rFonts w:ascii="Times New Roman" w:hAnsi="Times New Roman" w:cs="Times New Roman"/>
          <w:sz w:val="24"/>
          <w:szCs w:val="24"/>
        </w:rPr>
        <w:t xml:space="preserve">costs or otherwise withdrawing from patent prosecution (paragraph 2.4). </w:t>
      </w:r>
      <w:r w:rsidR="00FC31C0" w:rsidRPr="00A66E3E">
        <w:rPr>
          <w:rFonts w:ascii="Times New Roman" w:hAnsi="Times New Roman" w:cs="Times New Roman"/>
          <w:sz w:val="24"/>
          <w:szCs w:val="24"/>
        </w:rPr>
        <w:t>A</w:t>
      </w:r>
      <w:r w:rsidRPr="00A66E3E">
        <w:rPr>
          <w:rFonts w:ascii="Times New Roman" w:hAnsi="Times New Roman" w:cs="Times New Roman"/>
          <w:sz w:val="24"/>
          <w:szCs w:val="24"/>
        </w:rPr>
        <w:t xml:space="preserve">lternative clauses to address the different practices of the institutions are included in Attachment 1 to this User Guide. </w:t>
      </w:r>
      <w:r w:rsidR="00FC31C0" w:rsidRPr="00A66E3E">
        <w:rPr>
          <w:rFonts w:ascii="Times New Roman" w:hAnsi="Times New Roman" w:cs="Times New Roman"/>
          <w:sz w:val="24"/>
          <w:szCs w:val="24"/>
        </w:rPr>
        <w:t>As indicated earlier, i</w:t>
      </w:r>
      <w:r w:rsidRPr="00A66E3E">
        <w:rPr>
          <w:rFonts w:ascii="Times New Roman" w:hAnsi="Times New Roman" w:cs="Times New Roman"/>
          <w:sz w:val="24"/>
          <w:szCs w:val="24"/>
        </w:rPr>
        <w:t>f alternative paragraphs are used, the changed paragraphs should be referenced in the section labeled “Changes in General Terms” in part 1</w:t>
      </w:r>
      <w:r w:rsidR="00FC31C0" w:rsidRPr="00A66E3E">
        <w:rPr>
          <w:rFonts w:ascii="Times New Roman" w:hAnsi="Times New Roman" w:cs="Times New Roman"/>
          <w:sz w:val="24"/>
          <w:szCs w:val="24"/>
        </w:rPr>
        <w:t xml:space="preserve"> and the initial draft should show this section as redlined</w:t>
      </w:r>
      <w:r w:rsidRPr="00A66E3E">
        <w:rPr>
          <w:rFonts w:ascii="Times New Roman" w:hAnsi="Times New Roman" w:cs="Times New Roman"/>
          <w:sz w:val="24"/>
          <w:szCs w:val="24"/>
        </w:rPr>
        <w:t xml:space="preserve">. </w:t>
      </w:r>
    </w:p>
    <w:p w:rsidR="00BA55B0" w:rsidRPr="00A66E3E" w:rsidRDefault="00BA55B0" w:rsidP="00A66E3E">
      <w:pPr>
        <w:pStyle w:val="ListParagraph"/>
        <w:spacing w:after="240" w:line="240" w:lineRule="auto"/>
        <w:rPr>
          <w:rFonts w:ascii="Times New Roman" w:hAnsi="Times New Roman" w:cs="Times New Roman"/>
          <w:sz w:val="24"/>
          <w:szCs w:val="24"/>
        </w:rPr>
      </w:pPr>
    </w:p>
    <w:p w:rsidR="00E71513" w:rsidRPr="00A66E3E" w:rsidRDefault="00E71513" w:rsidP="00A66E3E">
      <w:pPr>
        <w:pStyle w:val="ListParagraph"/>
        <w:numPr>
          <w:ilvl w:val="0"/>
          <w:numId w:val="1"/>
        </w:numPr>
        <w:spacing w:after="240" w:line="240" w:lineRule="auto"/>
        <w:rPr>
          <w:rFonts w:ascii="Times New Roman" w:hAnsi="Times New Roman" w:cs="Times New Roman"/>
          <w:sz w:val="24"/>
          <w:szCs w:val="24"/>
          <w:u w:val="single"/>
        </w:rPr>
      </w:pPr>
      <w:r w:rsidRPr="00A66E3E">
        <w:rPr>
          <w:rFonts w:ascii="Times New Roman" w:hAnsi="Times New Roman" w:cs="Times New Roman"/>
          <w:sz w:val="24"/>
          <w:szCs w:val="24"/>
          <w:u w:val="single"/>
        </w:rPr>
        <w:t>Authority to enter into License Agreements</w:t>
      </w:r>
      <w:r w:rsidR="001E0672">
        <w:rPr>
          <w:rFonts w:ascii="Times New Roman" w:hAnsi="Times New Roman" w:cs="Times New Roman"/>
          <w:sz w:val="24"/>
          <w:szCs w:val="24"/>
          <w:u w:val="single"/>
        </w:rPr>
        <w:t xml:space="preserve"> (paragraph 3.3)</w:t>
      </w:r>
      <w:r w:rsidRPr="00A66E3E">
        <w:rPr>
          <w:rFonts w:ascii="Times New Roman" w:hAnsi="Times New Roman" w:cs="Times New Roman"/>
          <w:sz w:val="24"/>
          <w:szCs w:val="24"/>
        </w:rPr>
        <w:t xml:space="preserve">.  The </w:t>
      </w:r>
      <w:r w:rsidR="008F333E">
        <w:rPr>
          <w:rFonts w:ascii="Times New Roman" w:hAnsi="Times New Roman" w:cs="Times New Roman"/>
          <w:sz w:val="24"/>
          <w:szCs w:val="24"/>
        </w:rPr>
        <w:t>Model</w:t>
      </w:r>
      <w:r w:rsidR="0078173B" w:rsidRPr="00A66E3E">
        <w:rPr>
          <w:rFonts w:ascii="Times New Roman" w:hAnsi="Times New Roman" w:cs="Times New Roman"/>
          <w:sz w:val="24"/>
          <w:szCs w:val="24"/>
        </w:rPr>
        <w:t xml:space="preserve"> IIA allows the non-lead party to review a substantially final draft of the License Agreement for compliance with the provisions of the IIA, including the non-lead</w:t>
      </w:r>
      <w:r w:rsidR="0092619C" w:rsidRPr="00A66E3E">
        <w:rPr>
          <w:rFonts w:ascii="Times New Roman" w:hAnsi="Times New Roman" w:cs="Times New Roman"/>
          <w:sz w:val="24"/>
          <w:szCs w:val="24"/>
        </w:rPr>
        <w:t xml:space="preserve"> party’</w:t>
      </w:r>
      <w:r w:rsidR="0078173B" w:rsidRPr="00A66E3E">
        <w:rPr>
          <w:rFonts w:ascii="Times New Roman" w:hAnsi="Times New Roman" w:cs="Times New Roman"/>
          <w:sz w:val="24"/>
          <w:szCs w:val="24"/>
        </w:rPr>
        <w:t>s requirements specified in Exhibit A to the IIA. The non-lead party has 15 business days to respond to the substantially final draft, or will be deemed to have approved the License Agreement. If the non-lead party needs to affirmatively approve the License Agreement</w:t>
      </w:r>
      <w:r w:rsidR="0092619C" w:rsidRPr="00A66E3E">
        <w:rPr>
          <w:rFonts w:ascii="Times New Roman" w:hAnsi="Times New Roman" w:cs="Times New Roman"/>
          <w:sz w:val="24"/>
          <w:szCs w:val="24"/>
        </w:rPr>
        <w:t xml:space="preserve"> or review earlier drafts</w:t>
      </w:r>
      <w:r w:rsidR="0078173B" w:rsidRPr="00A66E3E">
        <w:rPr>
          <w:rFonts w:ascii="Times New Roman" w:hAnsi="Times New Roman" w:cs="Times New Roman"/>
          <w:sz w:val="24"/>
          <w:szCs w:val="24"/>
        </w:rPr>
        <w:t xml:space="preserve">, paragraph 3.3 should be adjusted accordingly. </w:t>
      </w:r>
    </w:p>
    <w:p w:rsidR="00E71513" w:rsidRPr="00A66E3E" w:rsidRDefault="00E71513" w:rsidP="00A66E3E">
      <w:pPr>
        <w:pStyle w:val="ListParagraph"/>
        <w:spacing w:after="240" w:line="240" w:lineRule="auto"/>
        <w:rPr>
          <w:rFonts w:ascii="Times New Roman" w:hAnsi="Times New Roman" w:cs="Times New Roman"/>
          <w:sz w:val="24"/>
          <w:szCs w:val="24"/>
        </w:rPr>
      </w:pPr>
    </w:p>
    <w:p w:rsidR="00F5131D" w:rsidRPr="00A66E3E" w:rsidRDefault="00F5131D" w:rsidP="00A66E3E">
      <w:pPr>
        <w:pStyle w:val="ListParagraph"/>
        <w:numPr>
          <w:ilvl w:val="0"/>
          <w:numId w:val="1"/>
        </w:numPr>
        <w:spacing w:after="240" w:line="240" w:lineRule="auto"/>
        <w:rPr>
          <w:rFonts w:ascii="Times New Roman" w:hAnsi="Times New Roman" w:cs="Times New Roman"/>
          <w:sz w:val="24"/>
          <w:szCs w:val="24"/>
          <w:u w:val="single"/>
        </w:rPr>
      </w:pPr>
      <w:r w:rsidRPr="00BD0121">
        <w:rPr>
          <w:rFonts w:ascii="Times New Roman" w:hAnsi="Times New Roman" w:cs="Times New Roman"/>
          <w:sz w:val="24"/>
          <w:szCs w:val="24"/>
          <w:u w:val="single"/>
        </w:rPr>
        <w:t>Rights reserved for clinical use</w:t>
      </w:r>
      <w:r w:rsidR="001E0672" w:rsidRPr="00BD0121">
        <w:rPr>
          <w:rFonts w:ascii="Times New Roman" w:hAnsi="Times New Roman" w:cs="Times New Roman"/>
          <w:sz w:val="24"/>
          <w:szCs w:val="24"/>
          <w:u w:val="single"/>
        </w:rPr>
        <w:t xml:space="preserve"> (paragraph 3.4)</w:t>
      </w:r>
      <w:r w:rsidRPr="00BD0121">
        <w:rPr>
          <w:rFonts w:ascii="Times New Roman" w:hAnsi="Times New Roman" w:cs="Times New Roman"/>
          <w:sz w:val="24"/>
          <w:szCs w:val="24"/>
        </w:rPr>
        <w:t xml:space="preserve">. </w:t>
      </w:r>
      <w:r w:rsidR="00FC31C0" w:rsidRPr="00BD0121">
        <w:rPr>
          <w:rFonts w:ascii="Times New Roman" w:hAnsi="Times New Roman" w:cs="Times New Roman"/>
          <w:sz w:val="24"/>
          <w:szCs w:val="24"/>
        </w:rPr>
        <w:t xml:space="preserve"> The </w:t>
      </w:r>
      <w:r w:rsidR="008F333E">
        <w:rPr>
          <w:rFonts w:ascii="Times New Roman" w:hAnsi="Times New Roman" w:cs="Times New Roman"/>
          <w:sz w:val="24"/>
          <w:szCs w:val="24"/>
        </w:rPr>
        <w:t>Model</w:t>
      </w:r>
      <w:r w:rsidR="00FC31C0" w:rsidRPr="00BD0121">
        <w:rPr>
          <w:rFonts w:ascii="Times New Roman" w:hAnsi="Times New Roman" w:cs="Times New Roman"/>
          <w:sz w:val="24"/>
          <w:szCs w:val="24"/>
        </w:rPr>
        <w:t xml:space="preserve"> IIA reserves </w:t>
      </w:r>
      <w:r w:rsidR="001E0672" w:rsidRPr="00BD0121">
        <w:rPr>
          <w:rFonts w:ascii="Times New Roman" w:hAnsi="Times New Roman" w:cs="Times New Roman"/>
          <w:sz w:val="24"/>
          <w:szCs w:val="24"/>
        </w:rPr>
        <w:t xml:space="preserve">to the parties the </w:t>
      </w:r>
      <w:r w:rsidR="00FC31C0" w:rsidRPr="00BD0121">
        <w:rPr>
          <w:rFonts w:ascii="Times New Roman" w:hAnsi="Times New Roman" w:cs="Times New Roman"/>
          <w:sz w:val="24"/>
          <w:szCs w:val="24"/>
        </w:rPr>
        <w:t xml:space="preserve">rights </w:t>
      </w:r>
      <w:r w:rsidR="001E0672" w:rsidRPr="00BD0121">
        <w:rPr>
          <w:rFonts w:ascii="Times New Roman" w:hAnsi="Times New Roman" w:cs="Times New Roman"/>
          <w:sz w:val="24"/>
          <w:szCs w:val="24"/>
        </w:rPr>
        <w:t xml:space="preserve">to use the patents </w:t>
      </w:r>
      <w:r w:rsidR="00FC31C0" w:rsidRPr="00BD0121">
        <w:rPr>
          <w:rFonts w:ascii="Times New Roman" w:hAnsi="Times New Roman" w:cs="Times New Roman"/>
          <w:sz w:val="24"/>
          <w:szCs w:val="24"/>
        </w:rPr>
        <w:t>for research and edu</w:t>
      </w:r>
      <w:r w:rsidR="00A05BC1" w:rsidRPr="00BD0121">
        <w:rPr>
          <w:rFonts w:ascii="Times New Roman" w:hAnsi="Times New Roman" w:cs="Times New Roman"/>
          <w:sz w:val="24"/>
          <w:szCs w:val="24"/>
        </w:rPr>
        <w:t>cational purposes. If a party</w:t>
      </w:r>
      <w:r w:rsidR="001E0672" w:rsidRPr="00BD0121">
        <w:rPr>
          <w:rFonts w:ascii="Times New Roman" w:hAnsi="Times New Roman" w:cs="Times New Roman"/>
          <w:sz w:val="24"/>
          <w:szCs w:val="24"/>
        </w:rPr>
        <w:t xml:space="preserve"> also</w:t>
      </w:r>
      <w:r w:rsidR="00A05BC1" w:rsidRPr="00BD0121">
        <w:rPr>
          <w:rFonts w:ascii="Times New Roman" w:hAnsi="Times New Roman" w:cs="Times New Roman"/>
          <w:sz w:val="24"/>
          <w:szCs w:val="24"/>
        </w:rPr>
        <w:t xml:space="preserve"> needs rights for clinical purposes, paragraph 3.4 (and the corresponding provision of Exhibit A) must be revised to reflect that. </w:t>
      </w:r>
    </w:p>
    <w:p w:rsidR="00F5131D" w:rsidRPr="00A66E3E" w:rsidRDefault="00F5131D" w:rsidP="00A66E3E">
      <w:pPr>
        <w:pStyle w:val="ListParagraph"/>
        <w:spacing w:after="240" w:line="240" w:lineRule="auto"/>
        <w:rPr>
          <w:rFonts w:ascii="Times New Roman" w:hAnsi="Times New Roman" w:cs="Times New Roman"/>
          <w:sz w:val="24"/>
          <w:szCs w:val="24"/>
          <w:u w:val="single"/>
        </w:rPr>
      </w:pPr>
    </w:p>
    <w:p w:rsidR="00872414" w:rsidRPr="00A66E3E" w:rsidRDefault="00BA55B0"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Equity issued for license grant</w:t>
      </w:r>
      <w:r w:rsidR="001E0672">
        <w:rPr>
          <w:rFonts w:ascii="Times New Roman" w:hAnsi="Times New Roman" w:cs="Times New Roman"/>
          <w:sz w:val="24"/>
          <w:szCs w:val="24"/>
          <w:u w:val="single"/>
        </w:rPr>
        <w:t xml:space="preserve"> (paragraph 3.7)</w:t>
      </w:r>
      <w:r w:rsidRPr="00A66E3E">
        <w:rPr>
          <w:rFonts w:ascii="Times New Roman" w:hAnsi="Times New Roman" w:cs="Times New Roman"/>
          <w:sz w:val="24"/>
          <w:szCs w:val="24"/>
        </w:rPr>
        <w:t xml:space="preserve">.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IIA provides that if equity is issued in consideration for a license grant, the lead institution will follow its standard practice to either hold the equity until it becomes liquid or distribute the equity to the co-owners in accordance with the revenue sharing allocation after giving effect to the administration fee, if any (paragraph 3.7).</w:t>
      </w:r>
    </w:p>
    <w:p w:rsidR="00872414" w:rsidRPr="00A66E3E" w:rsidRDefault="00872414" w:rsidP="00A66E3E">
      <w:pPr>
        <w:pStyle w:val="ListParagraph"/>
        <w:spacing w:after="240" w:line="240" w:lineRule="auto"/>
        <w:rPr>
          <w:rFonts w:ascii="Times New Roman" w:hAnsi="Times New Roman" w:cs="Times New Roman"/>
          <w:sz w:val="24"/>
          <w:szCs w:val="24"/>
          <w:u w:val="single"/>
        </w:rPr>
      </w:pPr>
    </w:p>
    <w:p w:rsidR="004E1DF2" w:rsidRPr="00A66E3E" w:rsidRDefault="00C12B0A"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Only patent expenses reimbursable</w:t>
      </w:r>
      <w:r w:rsidR="001E0672">
        <w:rPr>
          <w:rFonts w:ascii="Times New Roman" w:hAnsi="Times New Roman" w:cs="Times New Roman"/>
          <w:sz w:val="24"/>
          <w:szCs w:val="24"/>
          <w:u w:val="single"/>
        </w:rPr>
        <w:t xml:space="preserve"> (paragraph 4.2(b))</w:t>
      </w:r>
      <w:r w:rsidRPr="00A66E3E">
        <w:rPr>
          <w:rFonts w:ascii="Times New Roman" w:hAnsi="Times New Roman" w:cs="Times New Roman"/>
          <w:sz w:val="24"/>
          <w:szCs w:val="24"/>
        </w:rPr>
        <w:t xml:space="preserve">. </w:t>
      </w:r>
      <w:r w:rsidR="00421642" w:rsidRPr="00A66E3E">
        <w:rPr>
          <w:rFonts w:ascii="Times New Roman" w:hAnsi="Times New Roman" w:cs="Times New Roman"/>
          <w:sz w:val="24"/>
          <w:szCs w:val="24"/>
        </w:rPr>
        <w:t xml:space="preserve">The </w:t>
      </w:r>
      <w:r w:rsidR="004E1DF2" w:rsidRPr="00A66E3E">
        <w:rPr>
          <w:rFonts w:ascii="Times New Roman" w:hAnsi="Times New Roman" w:cs="Times New Roman"/>
          <w:sz w:val="24"/>
          <w:szCs w:val="24"/>
        </w:rPr>
        <w:t xml:space="preserve">only </w:t>
      </w:r>
      <w:proofErr w:type="gramStart"/>
      <w:r w:rsidR="004E1DF2" w:rsidRPr="00A66E3E">
        <w:rPr>
          <w:rFonts w:ascii="Times New Roman" w:hAnsi="Times New Roman" w:cs="Times New Roman"/>
          <w:sz w:val="24"/>
          <w:szCs w:val="24"/>
        </w:rPr>
        <w:t>type</w:t>
      </w:r>
      <w:proofErr w:type="gramEnd"/>
      <w:r w:rsidR="004E1DF2" w:rsidRPr="00A66E3E">
        <w:rPr>
          <w:rFonts w:ascii="Times New Roman" w:hAnsi="Times New Roman" w:cs="Times New Roman"/>
          <w:sz w:val="24"/>
          <w:szCs w:val="24"/>
        </w:rPr>
        <w:t xml:space="preserve"> of expense that can be recovered out of license revenues are patent expenses, unless the parties agree otherwise in writing. If a party expects marketing, proof-of-concept funding, or other expenses to be recovered, adjustment must be made </w:t>
      </w:r>
      <w:r w:rsidRPr="00A66E3E">
        <w:rPr>
          <w:rFonts w:ascii="Times New Roman" w:hAnsi="Times New Roman" w:cs="Times New Roman"/>
          <w:sz w:val="24"/>
          <w:szCs w:val="24"/>
        </w:rPr>
        <w:t xml:space="preserve">in </w:t>
      </w:r>
      <w:r w:rsidR="004E1DF2" w:rsidRPr="00A66E3E">
        <w:rPr>
          <w:rFonts w:ascii="Times New Roman" w:hAnsi="Times New Roman" w:cs="Times New Roman"/>
          <w:sz w:val="24"/>
          <w:szCs w:val="24"/>
        </w:rPr>
        <w:t xml:space="preserve">paragraph </w:t>
      </w:r>
      <w:r w:rsidR="00F03CF2" w:rsidRPr="00A66E3E">
        <w:rPr>
          <w:rFonts w:ascii="Times New Roman" w:hAnsi="Times New Roman" w:cs="Times New Roman"/>
          <w:sz w:val="24"/>
          <w:szCs w:val="24"/>
        </w:rPr>
        <w:t>4.2(b)</w:t>
      </w:r>
      <w:r w:rsidR="004E1DF2" w:rsidRPr="00A66E3E">
        <w:rPr>
          <w:rFonts w:ascii="Times New Roman" w:hAnsi="Times New Roman" w:cs="Times New Roman"/>
          <w:sz w:val="24"/>
          <w:szCs w:val="24"/>
        </w:rPr>
        <w:t xml:space="preserve"> or </w:t>
      </w:r>
      <w:r w:rsidR="00F214D3" w:rsidRPr="00A66E3E">
        <w:rPr>
          <w:rFonts w:ascii="Times New Roman" w:hAnsi="Times New Roman" w:cs="Times New Roman"/>
          <w:sz w:val="24"/>
          <w:szCs w:val="24"/>
        </w:rPr>
        <w:t xml:space="preserve">in </w:t>
      </w:r>
      <w:r w:rsidR="004E1DF2" w:rsidRPr="00A66E3E">
        <w:rPr>
          <w:rFonts w:ascii="Times New Roman" w:hAnsi="Times New Roman" w:cs="Times New Roman"/>
          <w:sz w:val="24"/>
          <w:szCs w:val="24"/>
        </w:rPr>
        <w:t>a separate, later-dated written instrument.</w:t>
      </w:r>
    </w:p>
    <w:p w:rsidR="004E1DF2" w:rsidRPr="00A66E3E" w:rsidRDefault="004E1DF2" w:rsidP="00A66E3E">
      <w:pPr>
        <w:pStyle w:val="ListParagraph"/>
        <w:spacing w:after="240" w:line="240" w:lineRule="auto"/>
        <w:rPr>
          <w:rFonts w:ascii="Times New Roman" w:hAnsi="Times New Roman" w:cs="Times New Roman"/>
          <w:sz w:val="24"/>
          <w:szCs w:val="24"/>
        </w:rPr>
      </w:pPr>
    </w:p>
    <w:p w:rsidR="00BA55B0" w:rsidRPr="00A66E3E" w:rsidRDefault="00BA55B0"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Sponsor obligations</w:t>
      </w:r>
      <w:r w:rsidR="001E0672">
        <w:rPr>
          <w:rFonts w:ascii="Times New Roman" w:hAnsi="Times New Roman" w:cs="Times New Roman"/>
          <w:sz w:val="24"/>
          <w:szCs w:val="24"/>
          <w:u w:val="single"/>
        </w:rPr>
        <w:t xml:space="preserve"> (paragraph 4.2(b))</w:t>
      </w:r>
      <w:r w:rsidRPr="00A66E3E">
        <w:rPr>
          <w:rFonts w:ascii="Times New Roman" w:hAnsi="Times New Roman" w:cs="Times New Roman"/>
          <w:sz w:val="24"/>
          <w:szCs w:val="24"/>
        </w:rPr>
        <w:t xml:space="preserve">. If there are obligations of a party to pay a portion of license revenue to a research sponsor, the template states that the party with those obligations will satisfy that payment obligation out of that party’s share of revenue. If the parties would like the sponsor obligations to be satisfied off the top of revenues, either the language in paragraph 4.2(b) must be adjusted or the change in the default payment structure must be specifically called out under “Third-Party Interests” in part 1. </w:t>
      </w:r>
    </w:p>
    <w:p w:rsidR="00BA55B0" w:rsidRPr="00A66E3E" w:rsidRDefault="00BA55B0" w:rsidP="00A66E3E">
      <w:pPr>
        <w:pStyle w:val="ListParagraph"/>
        <w:spacing w:after="240" w:line="240" w:lineRule="auto"/>
        <w:rPr>
          <w:rFonts w:ascii="Times New Roman" w:hAnsi="Times New Roman" w:cs="Times New Roman"/>
          <w:sz w:val="24"/>
          <w:szCs w:val="24"/>
        </w:rPr>
      </w:pPr>
    </w:p>
    <w:p w:rsidR="00C12B0A" w:rsidRPr="00A66E3E" w:rsidRDefault="00C12B0A"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 xml:space="preserve">Allocation of revenues </w:t>
      </w:r>
      <w:r w:rsidR="00311115" w:rsidRPr="00A66E3E">
        <w:rPr>
          <w:rFonts w:ascii="Times New Roman" w:hAnsi="Times New Roman" w:cs="Times New Roman"/>
          <w:sz w:val="24"/>
          <w:szCs w:val="24"/>
          <w:u w:val="single"/>
        </w:rPr>
        <w:t>if other IP licensed</w:t>
      </w:r>
      <w:r w:rsidR="001E0672">
        <w:rPr>
          <w:rFonts w:ascii="Times New Roman" w:hAnsi="Times New Roman" w:cs="Times New Roman"/>
          <w:sz w:val="24"/>
          <w:szCs w:val="24"/>
          <w:u w:val="single"/>
        </w:rPr>
        <w:t xml:space="preserve"> (paragraph 4.3)</w:t>
      </w:r>
      <w:r w:rsidRPr="00A66E3E">
        <w:rPr>
          <w:rFonts w:ascii="Times New Roman" w:hAnsi="Times New Roman" w:cs="Times New Roman"/>
          <w:sz w:val="24"/>
          <w:szCs w:val="24"/>
        </w:rPr>
        <w:t xml:space="preserve">. </w:t>
      </w:r>
      <w:r w:rsidR="004E1DF2" w:rsidRPr="00A66E3E">
        <w:rPr>
          <w:rFonts w:ascii="Times New Roman" w:hAnsi="Times New Roman" w:cs="Times New Roman"/>
          <w:sz w:val="24"/>
          <w:szCs w:val="24"/>
        </w:rPr>
        <w:t>If a license agreement covers patents or other intellectual property in addition to the patent rights covered by the IIA, the template calls for the parties to allocate in good faith the portion of licensing revenue attributable to the patent rights covere</w:t>
      </w:r>
      <w:r w:rsidR="00F03CF2" w:rsidRPr="00A66E3E">
        <w:rPr>
          <w:rFonts w:ascii="Times New Roman" w:hAnsi="Times New Roman" w:cs="Times New Roman"/>
          <w:sz w:val="24"/>
          <w:szCs w:val="24"/>
        </w:rPr>
        <w:t>d by the IIA (paragraph 4.3</w:t>
      </w:r>
      <w:r w:rsidR="004E1DF2" w:rsidRPr="00A66E3E">
        <w:rPr>
          <w:rFonts w:ascii="Times New Roman" w:hAnsi="Times New Roman" w:cs="Times New Roman"/>
          <w:sz w:val="24"/>
          <w:szCs w:val="24"/>
        </w:rPr>
        <w:t xml:space="preserve">). If the parties know at the time of signing the IIA that </w:t>
      </w:r>
      <w:r w:rsidRPr="00A66E3E">
        <w:rPr>
          <w:rFonts w:ascii="Times New Roman" w:hAnsi="Times New Roman" w:cs="Times New Roman"/>
          <w:sz w:val="24"/>
          <w:szCs w:val="24"/>
        </w:rPr>
        <w:t xml:space="preserve">additional patent rights or </w:t>
      </w:r>
      <w:r w:rsidR="002302FB" w:rsidRPr="00A66E3E">
        <w:rPr>
          <w:rFonts w:ascii="Times New Roman" w:hAnsi="Times New Roman" w:cs="Times New Roman"/>
          <w:sz w:val="24"/>
          <w:szCs w:val="24"/>
        </w:rPr>
        <w:t xml:space="preserve">other </w:t>
      </w:r>
      <w:r w:rsidRPr="00A66E3E">
        <w:rPr>
          <w:rFonts w:ascii="Times New Roman" w:hAnsi="Times New Roman" w:cs="Times New Roman"/>
          <w:sz w:val="24"/>
          <w:szCs w:val="24"/>
        </w:rPr>
        <w:t>intellectual property</w:t>
      </w:r>
      <w:r w:rsidR="002302FB" w:rsidRPr="00A66E3E">
        <w:rPr>
          <w:rFonts w:ascii="Times New Roman" w:hAnsi="Times New Roman" w:cs="Times New Roman"/>
          <w:sz w:val="24"/>
          <w:szCs w:val="24"/>
        </w:rPr>
        <w:t xml:space="preserve"> rights</w:t>
      </w:r>
      <w:r w:rsidRPr="00A66E3E">
        <w:rPr>
          <w:rFonts w:ascii="Times New Roman" w:hAnsi="Times New Roman" w:cs="Times New Roman"/>
          <w:sz w:val="24"/>
          <w:szCs w:val="24"/>
        </w:rPr>
        <w:t xml:space="preserve"> </w:t>
      </w:r>
      <w:r w:rsidR="00F214D3" w:rsidRPr="00A66E3E">
        <w:rPr>
          <w:rFonts w:ascii="Times New Roman" w:hAnsi="Times New Roman" w:cs="Times New Roman"/>
          <w:sz w:val="24"/>
          <w:szCs w:val="24"/>
        </w:rPr>
        <w:t xml:space="preserve">are </w:t>
      </w:r>
      <w:r w:rsidRPr="00A66E3E">
        <w:rPr>
          <w:rFonts w:ascii="Times New Roman" w:hAnsi="Times New Roman" w:cs="Times New Roman"/>
          <w:sz w:val="24"/>
          <w:szCs w:val="24"/>
        </w:rPr>
        <w:t>expected to be included in a license, it is recommended that the allocation of revenue be spelled out in the IIA.</w:t>
      </w:r>
    </w:p>
    <w:p w:rsidR="00C12B0A" w:rsidRPr="00A66E3E" w:rsidRDefault="00C12B0A" w:rsidP="00A66E3E">
      <w:pPr>
        <w:pStyle w:val="ListParagraph"/>
        <w:spacing w:after="240" w:line="240" w:lineRule="auto"/>
        <w:rPr>
          <w:rFonts w:ascii="Times New Roman" w:hAnsi="Times New Roman" w:cs="Times New Roman"/>
          <w:sz w:val="24"/>
          <w:szCs w:val="24"/>
        </w:rPr>
      </w:pPr>
    </w:p>
    <w:p w:rsidR="00C12B0A" w:rsidRPr="00A66E3E" w:rsidRDefault="00C12B0A"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Enforcement against infringers</w:t>
      </w:r>
      <w:r w:rsidR="001E0672">
        <w:rPr>
          <w:rFonts w:ascii="Times New Roman" w:hAnsi="Times New Roman" w:cs="Times New Roman"/>
          <w:sz w:val="24"/>
          <w:szCs w:val="24"/>
          <w:u w:val="single"/>
        </w:rPr>
        <w:t xml:space="preserve"> (paragraph 6)</w:t>
      </w:r>
      <w:r w:rsidRPr="00A66E3E">
        <w:rPr>
          <w:rFonts w:ascii="Times New Roman" w:hAnsi="Times New Roman" w:cs="Times New Roman"/>
          <w:sz w:val="24"/>
          <w:szCs w:val="24"/>
        </w:rPr>
        <w:t xml:space="preserve">.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IIA does not provide a mechanism for pursuing infringers and defers the issue for later good faith discussions if </w:t>
      </w:r>
      <w:r w:rsidR="009A2E94" w:rsidRPr="00A66E3E">
        <w:rPr>
          <w:rFonts w:ascii="Times New Roman" w:hAnsi="Times New Roman" w:cs="Times New Roman"/>
          <w:sz w:val="24"/>
          <w:szCs w:val="24"/>
        </w:rPr>
        <w:t xml:space="preserve">potential </w:t>
      </w:r>
      <w:r w:rsidRPr="00A66E3E">
        <w:rPr>
          <w:rFonts w:ascii="Times New Roman" w:hAnsi="Times New Roman" w:cs="Times New Roman"/>
          <w:sz w:val="24"/>
          <w:szCs w:val="24"/>
        </w:rPr>
        <w:t>infringe</w:t>
      </w:r>
      <w:r w:rsidR="00F03CF2" w:rsidRPr="00A66E3E">
        <w:rPr>
          <w:rFonts w:ascii="Times New Roman" w:hAnsi="Times New Roman" w:cs="Times New Roman"/>
          <w:sz w:val="24"/>
          <w:szCs w:val="24"/>
        </w:rPr>
        <w:t>ment is identified (paragraph 6</w:t>
      </w:r>
      <w:r w:rsidRPr="00A66E3E">
        <w:rPr>
          <w:rFonts w:ascii="Times New Roman" w:hAnsi="Times New Roman" w:cs="Times New Roman"/>
          <w:sz w:val="24"/>
          <w:szCs w:val="24"/>
        </w:rPr>
        <w:t>).</w:t>
      </w:r>
    </w:p>
    <w:p w:rsidR="00FC31C0" w:rsidRPr="00A66E3E" w:rsidRDefault="00FC31C0" w:rsidP="00A66E3E">
      <w:pPr>
        <w:pStyle w:val="ListParagraph"/>
        <w:spacing w:after="240" w:line="240" w:lineRule="auto"/>
        <w:rPr>
          <w:rFonts w:ascii="Times New Roman" w:hAnsi="Times New Roman" w:cs="Times New Roman"/>
          <w:sz w:val="24"/>
          <w:szCs w:val="24"/>
        </w:rPr>
      </w:pPr>
    </w:p>
    <w:p w:rsidR="00FC31C0" w:rsidRPr="00A66E3E" w:rsidRDefault="001D2A1C"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Reasons for termination</w:t>
      </w:r>
      <w:r w:rsidR="001E0672">
        <w:rPr>
          <w:rFonts w:ascii="Times New Roman" w:hAnsi="Times New Roman" w:cs="Times New Roman"/>
          <w:sz w:val="24"/>
          <w:szCs w:val="24"/>
          <w:u w:val="single"/>
        </w:rPr>
        <w:t xml:space="preserve"> (paragraph 9.2)</w:t>
      </w:r>
      <w:r w:rsidRPr="00A66E3E">
        <w:rPr>
          <w:rFonts w:ascii="Times New Roman" w:hAnsi="Times New Roman" w:cs="Times New Roman"/>
          <w:sz w:val="24"/>
          <w:szCs w:val="24"/>
        </w:rPr>
        <w:t>.  The template provides that for the first three years after execution the IIA can only be terminated for an uncured breach or a party withdrawing from paying its share of patent costs. If the parties wish to make the IIA terminable for convenience before the third anniversary, paragraph 9.2 should be adjusted accordingly.</w:t>
      </w:r>
    </w:p>
    <w:p w:rsidR="00C12B0A" w:rsidRPr="00A66E3E" w:rsidRDefault="00C12B0A" w:rsidP="00A66E3E">
      <w:pPr>
        <w:pStyle w:val="ListParagraph"/>
        <w:spacing w:after="240" w:line="240" w:lineRule="auto"/>
        <w:rPr>
          <w:rFonts w:ascii="Times New Roman" w:hAnsi="Times New Roman" w:cs="Times New Roman"/>
          <w:sz w:val="24"/>
          <w:szCs w:val="24"/>
        </w:rPr>
      </w:pPr>
    </w:p>
    <w:p w:rsidR="00FC31C0" w:rsidRPr="00A66E3E" w:rsidRDefault="00FC31C0" w:rsidP="00A66E3E">
      <w:pPr>
        <w:pStyle w:val="ListParagraph"/>
        <w:numPr>
          <w:ilvl w:val="0"/>
          <w:numId w:val="1"/>
        </w:numPr>
        <w:spacing w:after="240" w:line="240" w:lineRule="auto"/>
        <w:rPr>
          <w:rFonts w:ascii="Times New Roman" w:hAnsi="Times New Roman" w:cs="Times New Roman"/>
          <w:sz w:val="24"/>
          <w:szCs w:val="24"/>
          <w:u w:val="single"/>
        </w:rPr>
      </w:pPr>
      <w:r w:rsidRPr="00A66E3E">
        <w:rPr>
          <w:rFonts w:ascii="Times New Roman" w:hAnsi="Times New Roman" w:cs="Times New Roman"/>
          <w:sz w:val="24"/>
          <w:szCs w:val="24"/>
          <w:u w:val="single"/>
        </w:rPr>
        <w:t>Consequences of termination</w:t>
      </w:r>
      <w:r w:rsidR="001E0672">
        <w:rPr>
          <w:rFonts w:ascii="Times New Roman" w:hAnsi="Times New Roman" w:cs="Times New Roman"/>
          <w:sz w:val="24"/>
          <w:szCs w:val="24"/>
          <w:u w:val="single"/>
        </w:rPr>
        <w:t xml:space="preserve"> (paragraph 9.3)</w:t>
      </w:r>
      <w:r w:rsidRPr="00A66E3E">
        <w:rPr>
          <w:rFonts w:ascii="Times New Roman" w:hAnsi="Times New Roman" w:cs="Times New Roman"/>
          <w:sz w:val="24"/>
          <w:szCs w:val="24"/>
        </w:rPr>
        <w:t>. The</w:t>
      </w:r>
      <w:r w:rsidR="00E71513" w:rsidRPr="00A66E3E">
        <w:rPr>
          <w:rFonts w:ascii="Times New Roman" w:hAnsi="Times New Roman" w:cs="Times New Roman"/>
          <w:sz w:val="24"/>
          <w:szCs w:val="24"/>
        </w:rPr>
        <w:t xml:space="preserve"> template provides that upon termination, there are no ongoing rights or obligations regarding patenting or licensing</w:t>
      </w:r>
      <w:r w:rsidR="0092619C" w:rsidRPr="00A66E3E">
        <w:rPr>
          <w:rFonts w:ascii="Times New Roman" w:hAnsi="Times New Roman" w:cs="Times New Roman"/>
          <w:sz w:val="24"/>
          <w:szCs w:val="24"/>
        </w:rPr>
        <w:t xml:space="preserve"> of </w:t>
      </w:r>
      <w:r w:rsidR="0092619C" w:rsidRPr="00A66E3E">
        <w:rPr>
          <w:rFonts w:ascii="Times New Roman" w:hAnsi="Times New Roman" w:cs="Times New Roman"/>
          <w:sz w:val="24"/>
          <w:szCs w:val="24"/>
        </w:rPr>
        <w:lastRenderedPageBreak/>
        <w:t xml:space="preserve">the subject patent rights. Attachment 1 provides sample alternate </w:t>
      </w:r>
      <w:r w:rsidR="001D2A1C" w:rsidRPr="00A66E3E">
        <w:rPr>
          <w:rFonts w:ascii="Times New Roman" w:hAnsi="Times New Roman" w:cs="Times New Roman"/>
          <w:sz w:val="24"/>
          <w:szCs w:val="24"/>
        </w:rPr>
        <w:t>language for paragraph 9.3 for institutions that prefer to have</w:t>
      </w:r>
      <w:r w:rsidR="001E0672">
        <w:rPr>
          <w:rFonts w:ascii="Times New Roman" w:hAnsi="Times New Roman" w:cs="Times New Roman"/>
          <w:sz w:val="24"/>
          <w:szCs w:val="24"/>
        </w:rPr>
        <w:t xml:space="preserve"> continuing obligations to share patent expenses and consequences if a party does not continue paying its share</w:t>
      </w:r>
      <w:r w:rsidRPr="00A66E3E">
        <w:rPr>
          <w:rFonts w:ascii="Times New Roman" w:hAnsi="Times New Roman" w:cs="Times New Roman"/>
          <w:sz w:val="24"/>
          <w:szCs w:val="24"/>
        </w:rPr>
        <w:t xml:space="preserve">. </w:t>
      </w:r>
    </w:p>
    <w:p w:rsidR="00FC31C0" w:rsidRPr="00A66E3E" w:rsidRDefault="00FC31C0" w:rsidP="00A66E3E">
      <w:pPr>
        <w:pStyle w:val="ListParagraph"/>
        <w:spacing w:after="240" w:line="240" w:lineRule="auto"/>
        <w:rPr>
          <w:rFonts w:ascii="Times New Roman" w:hAnsi="Times New Roman" w:cs="Times New Roman"/>
          <w:sz w:val="24"/>
          <w:szCs w:val="24"/>
          <w:u w:val="single"/>
        </w:rPr>
      </w:pPr>
    </w:p>
    <w:p w:rsidR="00710E0F" w:rsidRPr="00A66E3E" w:rsidRDefault="008E3CA2" w:rsidP="00A66E3E">
      <w:pPr>
        <w:pStyle w:val="ListParagraph"/>
        <w:numPr>
          <w:ilvl w:val="0"/>
          <w:numId w:val="1"/>
        </w:numPr>
        <w:spacing w:after="240" w:line="240" w:lineRule="auto"/>
        <w:rPr>
          <w:rFonts w:ascii="Times New Roman" w:hAnsi="Times New Roman" w:cs="Times New Roman"/>
          <w:sz w:val="24"/>
          <w:szCs w:val="24"/>
          <w:u w:val="single"/>
        </w:rPr>
      </w:pPr>
      <w:r w:rsidRPr="00A66E3E">
        <w:rPr>
          <w:rFonts w:ascii="Times New Roman" w:hAnsi="Times New Roman" w:cs="Times New Roman"/>
          <w:sz w:val="24"/>
          <w:szCs w:val="24"/>
          <w:u w:val="single"/>
        </w:rPr>
        <w:t xml:space="preserve">Exhibit </w:t>
      </w:r>
      <w:proofErr w:type="gramStart"/>
      <w:r w:rsidRPr="00A66E3E">
        <w:rPr>
          <w:rFonts w:ascii="Times New Roman" w:hAnsi="Times New Roman" w:cs="Times New Roman"/>
          <w:sz w:val="24"/>
          <w:szCs w:val="24"/>
          <w:u w:val="single"/>
        </w:rPr>
        <w:t>A</w:t>
      </w:r>
      <w:proofErr w:type="gramEnd"/>
      <w:r w:rsidRPr="00A66E3E">
        <w:rPr>
          <w:rFonts w:ascii="Times New Roman" w:hAnsi="Times New Roman" w:cs="Times New Roman"/>
          <w:sz w:val="24"/>
          <w:szCs w:val="24"/>
          <w:u w:val="single"/>
        </w:rPr>
        <w:t xml:space="preserve"> (License Agreement requirements</w:t>
      </w:r>
      <w:r w:rsidR="00710E0F" w:rsidRPr="00A66E3E">
        <w:rPr>
          <w:rFonts w:ascii="Times New Roman" w:hAnsi="Times New Roman" w:cs="Times New Roman"/>
          <w:sz w:val="24"/>
          <w:szCs w:val="24"/>
          <w:u w:val="single"/>
        </w:rPr>
        <w:t>)</w:t>
      </w:r>
      <w:r w:rsidR="00710E0F" w:rsidRPr="00A66E3E">
        <w:rPr>
          <w:rFonts w:ascii="Times New Roman" w:hAnsi="Times New Roman" w:cs="Times New Roman"/>
          <w:sz w:val="24"/>
          <w:szCs w:val="24"/>
        </w:rPr>
        <w:t>.  To the extent that a non-lead institution has specific requirements for a license agreement (including required clauses or institution policies that bear on the license agreement), those must be indicated in Exhibit A. A sample is provided with the template. Each endorsing institution is encouraged to customize the sample provided or create its own Exhibit A to reflect its specific requirements. There are some user notes about Exhibit A bracketed in the sample Exhibit A included in the template.</w:t>
      </w:r>
    </w:p>
    <w:p w:rsidR="00710E0F" w:rsidRPr="00A66E3E" w:rsidRDefault="00710E0F" w:rsidP="00A66E3E">
      <w:pPr>
        <w:pStyle w:val="ListParagraph"/>
        <w:spacing w:after="240" w:line="240" w:lineRule="auto"/>
        <w:rPr>
          <w:rFonts w:ascii="Times New Roman" w:hAnsi="Times New Roman" w:cs="Times New Roman"/>
          <w:sz w:val="24"/>
          <w:szCs w:val="24"/>
        </w:rPr>
      </w:pPr>
    </w:p>
    <w:p w:rsidR="00311115" w:rsidRDefault="00311115" w:rsidP="00A66E3E">
      <w:pPr>
        <w:pStyle w:val="ListParagraph"/>
        <w:numPr>
          <w:ilvl w:val="0"/>
          <w:numId w:val="1"/>
        </w:numPr>
        <w:spacing w:after="240" w:line="240" w:lineRule="auto"/>
        <w:rPr>
          <w:rFonts w:ascii="Times New Roman" w:hAnsi="Times New Roman" w:cs="Times New Roman"/>
          <w:sz w:val="24"/>
          <w:szCs w:val="24"/>
        </w:rPr>
      </w:pPr>
      <w:r w:rsidRPr="00A66E3E">
        <w:rPr>
          <w:rFonts w:ascii="Times New Roman" w:hAnsi="Times New Roman" w:cs="Times New Roman"/>
          <w:sz w:val="24"/>
          <w:szCs w:val="24"/>
          <w:u w:val="single"/>
        </w:rPr>
        <w:t>Three or more co-owners</w:t>
      </w:r>
      <w:r w:rsidRPr="00A66E3E">
        <w:rPr>
          <w:rFonts w:ascii="Times New Roman" w:hAnsi="Times New Roman" w:cs="Times New Roman"/>
          <w:sz w:val="24"/>
          <w:szCs w:val="24"/>
        </w:rPr>
        <w:t>. The document has been formatted to enable use for any number of patent co-owners. If there are three or more co-owners, one can be designated the Lead Institution and identified as that in the table in part 1 and all other co-owners can be designated as “Other Institutions” in part 1. Additional signature blocks can be added for the</w:t>
      </w:r>
      <w:r w:rsidR="00896BBB" w:rsidRPr="00A66E3E">
        <w:rPr>
          <w:rFonts w:ascii="Times New Roman" w:hAnsi="Times New Roman" w:cs="Times New Roman"/>
          <w:sz w:val="24"/>
          <w:szCs w:val="24"/>
        </w:rPr>
        <w:t xml:space="preserve"> a</w:t>
      </w:r>
      <w:r w:rsidRPr="00A66E3E">
        <w:rPr>
          <w:rFonts w:ascii="Times New Roman" w:hAnsi="Times New Roman" w:cs="Times New Roman"/>
          <w:sz w:val="24"/>
          <w:szCs w:val="24"/>
        </w:rPr>
        <w:t xml:space="preserve">dditional </w:t>
      </w:r>
      <w:r w:rsidR="00896BBB" w:rsidRPr="00A66E3E">
        <w:rPr>
          <w:rFonts w:ascii="Times New Roman" w:hAnsi="Times New Roman" w:cs="Times New Roman"/>
          <w:sz w:val="24"/>
          <w:szCs w:val="24"/>
        </w:rPr>
        <w:t>o</w:t>
      </w:r>
      <w:r w:rsidRPr="00A66E3E">
        <w:rPr>
          <w:rFonts w:ascii="Times New Roman" w:hAnsi="Times New Roman" w:cs="Times New Roman"/>
          <w:sz w:val="24"/>
          <w:szCs w:val="24"/>
        </w:rPr>
        <w:t xml:space="preserve">wners. No other customization is required, although the parties may wish to consider whether it would be appropriate for certain rights of the Other Institutions to be exercised by the Other Institutions in concert. </w:t>
      </w:r>
    </w:p>
    <w:p w:rsidR="001E0672" w:rsidRPr="001E0672" w:rsidRDefault="001E0672" w:rsidP="001E0672">
      <w:pPr>
        <w:pStyle w:val="ListParagraph"/>
        <w:rPr>
          <w:rFonts w:ascii="Times New Roman" w:hAnsi="Times New Roman" w:cs="Times New Roman"/>
          <w:sz w:val="24"/>
          <w:szCs w:val="24"/>
        </w:rPr>
      </w:pPr>
    </w:p>
    <w:p w:rsidR="001E0672" w:rsidRPr="00BD0121" w:rsidRDefault="001E0672" w:rsidP="00A66E3E">
      <w:pPr>
        <w:pStyle w:val="ListParagraph"/>
        <w:numPr>
          <w:ilvl w:val="0"/>
          <w:numId w:val="1"/>
        </w:numPr>
        <w:spacing w:after="240" w:line="240" w:lineRule="auto"/>
        <w:rPr>
          <w:rFonts w:ascii="Times New Roman" w:hAnsi="Times New Roman" w:cs="Times New Roman"/>
          <w:sz w:val="24"/>
          <w:szCs w:val="24"/>
        </w:rPr>
      </w:pPr>
      <w:r w:rsidRPr="00BD0121">
        <w:rPr>
          <w:rFonts w:ascii="Times New Roman" w:hAnsi="Times New Roman" w:cs="Times New Roman"/>
          <w:sz w:val="24"/>
          <w:szCs w:val="24"/>
          <w:u w:val="single"/>
        </w:rPr>
        <w:t>Other Alternative Clauses</w:t>
      </w:r>
      <w:r w:rsidRPr="00BD0121">
        <w:rPr>
          <w:rFonts w:ascii="Times New Roman" w:hAnsi="Times New Roman" w:cs="Times New Roman"/>
          <w:sz w:val="24"/>
          <w:szCs w:val="24"/>
        </w:rPr>
        <w:t xml:space="preserve">.  Attachment 1 also includes alternative clauses if the parties wish to provide a mechanism to </w:t>
      </w:r>
      <w:r w:rsidR="00CD7106" w:rsidRPr="00BD0121">
        <w:rPr>
          <w:rFonts w:ascii="Times New Roman" w:hAnsi="Times New Roman" w:cs="Times New Roman"/>
          <w:sz w:val="24"/>
          <w:szCs w:val="24"/>
        </w:rPr>
        <w:t>enable a change in</w:t>
      </w:r>
      <w:r w:rsidRPr="00BD0121">
        <w:rPr>
          <w:rFonts w:ascii="Times New Roman" w:hAnsi="Times New Roman" w:cs="Times New Roman"/>
          <w:sz w:val="24"/>
          <w:szCs w:val="24"/>
        </w:rPr>
        <w:t xml:space="preserve"> lead institutions or to address situations of </w:t>
      </w:r>
      <w:proofErr w:type="spellStart"/>
      <w:r w:rsidRPr="00BD0121">
        <w:rPr>
          <w:rFonts w:ascii="Times New Roman" w:hAnsi="Times New Roman" w:cs="Times New Roman"/>
          <w:sz w:val="24"/>
          <w:szCs w:val="24"/>
        </w:rPr>
        <w:t>inventorsh</w:t>
      </w:r>
      <w:r w:rsidR="00CD7106" w:rsidRPr="00BD0121">
        <w:rPr>
          <w:rFonts w:ascii="Times New Roman" w:hAnsi="Times New Roman" w:cs="Times New Roman"/>
          <w:sz w:val="24"/>
          <w:szCs w:val="24"/>
        </w:rPr>
        <w:t>ip</w:t>
      </w:r>
      <w:proofErr w:type="spellEnd"/>
      <w:r w:rsidR="00CD7106" w:rsidRPr="00BD0121">
        <w:rPr>
          <w:rFonts w:ascii="Times New Roman" w:hAnsi="Times New Roman" w:cs="Times New Roman"/>
          <w:sz w:val="24"/>
          <w:szCs w:val="24"/>
        </w:rPr>
        <w:t xml:space="preserve"> changes.</w:t>
      </w:r>
      <w:r w:rsidRPr="00BD0121">
        <w:rPr>
          <w:rFonts w:ascii="Times New Roman" w:hAnsi="Times New Roman" w:cs="Times New Roman"/>
          <w:sz w:val="24"/>
          <w:szCs w:val="24"/>
        </w:rPr>
        <w:t xml:space="preserve">  </w:t>
      </w:r>
    </w:p>
    <w:p w:rsidR="00311115" w:rsidRPr="00A66E3E" w:rsidRDefault="00311115" w:rsidP="00A66E3E">
      <w:pPr>
        <w:pStyle w:val="ListParagraph"/>
        <w:spacing w:after="240" w:line="240" w:lineRule="auto"/>
        <w:rPr>
          <w:rFonts w:ascii="Times New Roman" w:hAnsi="Times New Roman" w:cs="Times New Roman"/>
          <w:sz w:val="24"/>
          <w:szCs w:val="24"/>
        </w:rPr>
      </w:pPr>
    </w:p>
    <w:p w:rsidR="00E15CBC" w:rsidRPr="00A66E3E" w:rsidRDefault="008F333E" w:rsidP="00A66E3E">
      <w:pPr>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Model </w:t>
      </w:r>
      <w:r w:rsidR="00E15CBC" w:rsidRPr="00A66E3E">
        <w:rPr>
          <w:rFonts w:ascii="Times New Roman" w:hAnsi="Times New Roman" w:cs="Times New Roman"/>
          <w:b/>
          <w:sz w:val="24"/>
          <w:szCs w:val="24"/>
          <w:u w:val="single"/>
        </w:rPr>
        <w:t>Preliminary Patent Management Agreement</w:t>
      </w:r>
    </w:p>
    <w:p w:rsidR="008E3CA2" w:rsidRPr="00A66E3E" w:rsidRDefault="008E3CA2"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In the course of developing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IIA, the participating institutions identified a need for a streamlined process to reach agreement on the sharing of patent costs to enable the parties to proceed with patent prosecution even before the full IIA is signed. The </w:t>
      </w:r>
      <w:r w:rsidR="008F333E">
        <w:rPr>
          <w:rFonts w:ascii="Times New Roman" w:hAnsi="Times New Roman" w:cs="Times New Roman"/>
          <w:sz w:val="24"/>
          <w:szCs w:val="24"/>
        </w:rPr>
        <w:t>model</w:t>
      </w:r>
      <w:r w:rsidRPr="00A66E3E">
        <w:rPr>
          <w:rFonts w:ascii="Times New Roman" w:hAnsi="Times New Roman" w:cs="Times New Roman"/>
          <w:sz w:val="24"/>
          <w:szCs w:val="24"/>
        </w:rPr>
        <w:t xml:space="preserve"> Preliminary Patent Management Agreement </w:t>
      </w:r>
      <w:r w:rsidR="0047236A" w:rsidRPr="00A66E3E">
        <w:rPr>
          <w:rFonts w:ascii="Times New Roman" w:hAnsi="Times New Roman" w:cs="Times New Roman"/>
          <w:sz w:val="24"/>
          <w:szCs w:val="24"/>
        </w:rPr>
        <w:t>(</w:t>
      </w:r>
      <w:r w:rsidR="008F333E">
        <w:rPr>
          <w:rFonts w:ascii="Times New Roman" w:hAnsi="Times New Roman" w:cs="Times New Roman"/>
          <w:sz w:val="24"/>
          <w:szCs w:val="24"/>
        </w:rPr>
        <w:t xml:space="preserve">Model </w:t>
      </w:r>
      <w:r w:rsidR="0047236A" w:rsidRPr="00A66E3E">
        <w:rPr>
          <w:rFonts w:ascii="Times New Roman" w:hAnsi="Times New Roman" w:cs="Times New Roman"/>
          <w:sz w:val="24"/>
          <w:szCs w:val="24"/>
        </w:rPr>
        <w:t xml:space="preserve">PPMA) </w:t>
      </w:r>
      <w:r w:rsidRPr="00A66E3E">
        <w:rPr>
          <w:rFonts w:ascii="Times New Roman" w:hAnsi="Times New Roman" w:cs="Times New Roman"/>
          <w:sz w:val="24"/>
          <w:szCs w:val="24"/>
        </w:rPr>
        <w:t>was developed for this reason. It creates a binding obligation to share patent costs,</w:t>
      </w:r>
      <w:r w:rsidR="0047236A" w:rsidRPr="00A66E3E">
        <w:rPr>
          <w:rFonts w:ascii="Times New Roman" w:hAnsi="Times New Roman" w:cs="Times New Roman"/>
          <w:sz w:val="24"/>
          <w:szCs w:val="24"/>
        </w:rPr>
        <w:t xml:space="preserve"> but does not give either party the right to enter into a license while the PPMA is in effect.</w:t>
      </w:r>
      <w:r w:rsidRPr="00A66E3E">
        <w:rPr>
          <w:rFonts w:ascii="Times New Roman" w:hAnsi="Times New Roman" w:cs="Times New Roman"/>
          <w:sz w:val="24"/>
          <w:szCs w:val="24"/>
        </w:rPr>
        <w:t xml:space="preserve"> In the spirit of </w:t>
      </w:r>
      <w:r w:rsidR="0047236A" w:rsidRPr="00A66E3E">
        <w:rPr>
          <w:rFonts w:ascii="Times New Roman" w:hAnsi="Times New Roman" w:cs="Times New Roman"/>
          <w:sz w:val="24"/>
          <w:szCs w:val="24"/>
        </w:rPr>
        <w:t>keeping the</w:t>
      </w:r>
      <w:r w:rsidRPr="00A66E3E">
        <w:rPr>
          <w:rFonts w:ascii="Times New Roman" w:hAnsi="Times New Roman" w:cs="Times New Roman"/>
          <w:sz w:val="24"/>
          <w:szCs w:val="24"/>
        </w:rPr>
        <w:t xml:space="preserve"> process simple, ei</w:t>
      </w:r>
      <w:r w:rsidR="0047236A" w:rsidRPr="00A66E3E">
        <w:rPr>
          <w:rFonts w:ascii="Times New Roman" w:hAnsi="Times New Roman" w:cs="Times New Roman"/>
          <w:sz w:val="24"/>
          <w:szCs w:val="24"/>
        </w:rPr>
        <w:t>ther party may terminate the PPMA on 90 days’ notice and the non-lead is not required to pay for any particular patent expenses that it objects to on a timely basis.</w:t>
      </w:r>
    </w:p>
    <w:p w:rsidR="0047236A" w:rsidRPr="00A66E3E" w:rsidRDefault="0047236A"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br w:type="page"/>
      </w:r>
    </w:p>
    <w:p w:rsidR="00A66E3E" w:rsidRDefault="0047236A" w:rsidP="00BD0121">
      <w:pPr>
        <w:spacing w:after="0" w:line="240" w:lineRule="auto"/>
        <w:jc w:val="center"/>
        <w:rPr>
          <w:rFonts w:ascii="Times New Roman" w:hAnsi="Times New Roman" w:cs="Times New Roman"/>
          <w:b/>
          <w:sz w:val="24"/>
          <w:szCs w:val="24"/>
        </w:rPr>
      </w:pPr>
      <w:r w:rsidRPr="00A66E3E">
        <w:rPr>
          <w:rFonts w:ascii="Times New Roman" w:hAnsi="Times New Roman" w:cs="Times New Roman"/>
          <w:b/>
          <w:sz w:val="24"/>
          <w:szCs w:val="24"/>
        </w:rPr>
        <w:lastRenderedPageBreak/>
        <w:t>Attachment 1</w:t>
      </w:r>
      <w:r w:rsidR="00BD0121">
        <w:rPr>
          <w:rFonts w:ascii="Times New Roman" w:hAnsi="Times New Roman" w:cs="Times New Roman"/>
          <w:b/>
          <w:sz w:val="24"/>
          <w:szCs w:val="24"/>
        </w:rPr>
        <w:t xml:space="preserve"> to</w:t>
      </w:r>
    </w:p>
    <w:p w:rsidR="00BA55B0" w:rsidRPr="00A66E3E" w:rsidRDefault="00BD0121" w:rsidP="00A66E3E">
      <w:pPr>
        <w:jc w:val="center"/>
        <w:rPr>
          <w:rFonts w:ascii="Times New Roman" w:hAnsi="Times New Roman" w:cs="Times New Roman"/>
          <w:b/>
          <w:sz w:val="24"/>
          <w:szCs w:val="24"/>
        </w:rPr>
      </w:pPr>
      <w:r>
        <w:rPr>
          <w:rFonts w:ascii="Times New Roman" w:hAnsi="Times New Roman" w:cs="Times New Roman"/>
          <w:b/>
          <w:sz w:val="24"/>
          <w:szCs w:val="24"/>
        </w:rPr>
        <w:t>User Guide</w:t>
      </w:r>
      <w:r w:rsidR="00BA55B0" w:rsidRPr="00A66E3E">
        <w:rPr>
          <w:rFonts w:ascii="Times New Roman" w:hAnsi="Times New Roman" w:cs="Times New Roman"/>
          <w:b/>
          <w:sz w:val="24"/>
          <w:szCs w:val="24"/>
        </w:rPr>
        <w:t xml:space="preserve"> for</w:t>
      </w:r>
      <w:r w:rsidR="00A66E3E">
        <w:rPr>
          <w:rFonts w:ascii="Times New Roman" w:hAnsi="Times New Roman" w:cs="Times New Roman"/>
          <w:b/>
          <w:sz w:val="24"/>
          <w:szCs w:val="24"/>
        </w:rPr>
        <w:t xml:space="preserve"> </w:t>
      </w:r>
      <w:r w:rsidR="008F333E">
        <w:rPr>
          <w:rFonts w:ascii="Times New Roman" w:hAnsi="Times New Roman" w:cs="Times New Roman"/>
          <w:b/>
          <w:sz w:val="24"/>
          <w:szCs w:val="24"/>
        </w:rPr>
        <w:t>Model</w:t>
      </w:r>
      <w:r w:rsidR="00BA55B0" w:rsidRPr="00A66E3E">
        <w:rPr>
          <w:rFonts w:ascii="Times New Roman" w:hAnsi="Times New Roman" w:cs="Times New Roman"/>
          <w:b/>
          <w:sz w:val="24"/>
          <w:szCs w:val="24"/>
        </w:rPr>
        <w:t xml:space="preserve"> IIA </w:t>
      </w:r>
      <w:r>
        <w:rPr>
          <w:rFonts w:ascii="Times New Roman" w:hAnsi="Times New Roman" w:cs="Times New Roman"/>
          <w:b/>
          <w:sz w:val="24"/>
          <w:szCs w:val="24"/>
        </w:rPr>
        <w:t>(2013)</w:t>
      </w:r>
    </w:p>
    <w:p w:rsidR="00BD0121" w:rsidRDefault="00BA55B0" w:rsidP="00BA55B0">
      <w:pPr>
        <w:pStyle w:val="NumContHalf"/>
        <w:spacing w:after="120"/>
        <w:ind w:firstLine="0"/>
        <w:jc w:val="left"/>
        <w:rPr>
          <w:i/>
          <w:szCs w:val="24"/>
        </w:rPr>
      </w:pPr>
      <w:r w:rsidRPr="00A66E3E">
        <w:rPr>
          <w:b/>
          <w:i/>
          <w:szCs w:val="24"/>
          <w:u w:val="single"/>
        </w:rPr>
        <w:t>Consequences of Declining to Pay Patent Expenses</w:t>
      </w:r>
      <w:r w:rsidR="004D658A" w:rsidRPr="00A66E3E">
        <w:rPr>
          <w:b/>
          <w:i/>
          <w:szCs w:val="24"/>
          <w:u w:val="single"/>
        </w:rPr>
        <w:t xml:space="preserve"> (paragraph 2.4)</w:t>
      </w:r>
      <w:r w:rsidRPr="00A66E3E">
        <w:rPr>
          <w:b/>
          <w:i/>
          <w:szCs w:val="24"/>
        </w:rPr>
        <w:t>.</w:t>
      </w:r>
      <w:r w:rsidRPr="00A66E3E">
        <w:rPr>
          <w:i/>
          <w:szCs w:val="24"/>
        </w:rPr>
        <w:t xml:space="preserve"> </w:t>
      </w:r>
    </w:p>
    <w:p w:rsidR="00BA55B0" w:rsidRDefault="00BA55B0" w:rsidP="00BD0121">
      <w:pPr>
        <w:pStyle w:val="NumContHalf"/>
        <w:spacing w:after="120"/>
        <w:ind w:firstLine="0"/>
        <w:jc w:val="left"/>
        <w:rPr>
          <w:i/>
          <w:szCs w:val="24"/>
        </w:rPr>
      </w:pPr>
      <w:r w:rsidRPr="00A66E3E">
        <w:rPr>
          <w:i/>
          <w:szCs w:val="24"/>
        </w:rPr>
        <w:t xml:space="preserve">The following are alternative clauses for Paragraph 2.4, the section which provides the consequences of a party not paying </w:t>
      </w:r>
      <w:proofErr w:type="gramStart"/>
      <w:r w:rsidRPr="00A66E3E">
        <w:rPr>
          <w:i/>
          <w:szCs w:val="24"/>
        </w:rPr>
        <w:t>its</w:t>
      </w:r>
      <w:proofErr w:type="gramEnd"/>
      <w:r w:rsidRPr="00A66E3E">
        <w:rPr>
          <w:i/>
          <w:szCs w:val="24"/>
        </w:rPr>
        <w:t xml:space="preserve"> agreed upon share of patent expenses.</w:t>
      </w:r>
    </w:p>
    <w:p w:rsidR="00BD0121" w:rsidRPr="00A66E3E" w:rsidRDefault="00BD0121" w:rsidP="00BD0121">
      <w:pPr>
        <w:pStyle w:val="NumContHalf"/>
        <w:spacing w:after="120"/>
        <w:ind w:firstLine="0"/>
        <w:jc w:val="left"/>
        <w:rPr>
          <w:szCs w:val="24"/>
        </w:rPr>
      </w:pPr>
    </w:p>
    <w:p w:rsidR="00BA55B0" w:rsidRPr="00A66E3E" w:rsidRDefault="00BA55B0" w:rsidP="00BA55B0">
      <w:pPr>
        <w:pStyle w:val="NumContHalf"/>
        <w:spacing w:after="120"/>
        <w:rPr>
          <w:szCs w:val="24"/>
        </w:rPr>
      </w:pPr>
      <w:r w:rsidRPr="00A66E3E">
        <w:rPr>
          <w:i/>
          <w:szCs w:val="24"/>
        </w:rPr>
        <w:t>A. Administration Fee is triggered</w:t>
      </w:r>
      <w:r w:rsidRPr="00A66E3E">
        <w:rPr>
          <w:szCs w:val="24"/>
        </w:rPr>
        <w:t xml:space="preserve">: </w:t>
      </w:r>
    </w:p>
    <w:p w:rsidR="00BA55B0" w:rsidRPr="00A66E3E" w:rsidRDefault="00BA55B0" w:rsidP="00BA55B0">
      <w:pPr>
        <w:pStyle w:val="1AutoList3"/>
        <w:ind w:left="0" w:firstLine="0"/>
        <w:rPr>
          <w:sz w:val="24"/>
        </w:rPr>
      </w:pPr>
      <w:r w:rsidRPr="00A66E3E">
        <w:rPr>
          <w:sz w:val="24"/>
        </w:rPr>
        <w:tab/>
      </w:r>
    </w:p>
    <w:p w:rsidR="00BA55B0" w:rsidRPr="00A66E3E" w:rsidRDefault="00BA55B0" w:rsidP="00BA55B0">
      <w:pPr>
        <w:pStyle w:val="1AutoList3"/>
        <w:ind w:left="0" w:firstLine="0"/>
        <w:rPr>
          <w:sz w:val="24"/>
        </w:rPr>
      </w:pPr>
      <w:r w:rsidRPr="00A66E3E">
        <w:rPr>
          <w:sz w:val="24"/>
        </w:rPr>
        <w:tab/>
        <w:t xml:space="preserve">2.4 </w:t>
      </w:r>
      <w:r w:rsidRPr="00A66E3E">
        <w:rPr>
          <w:sz w:val="24"/>
          <w:u w:val="single"/>
        </w:rPr>
        <w:t>Consequences of Declining Payment of Patent Expenses</w:t>
      </w:r>
      <w:r w:rsidRPr="00A66E3E">
        <w:rPr>
          <w:sz w:val="24"/>
        </w:rPr>
        <w:t xml:space="preserve">. If a Party elects to abandon particular Patent Rights or elects to not pay or discontinue paying its Share of Patent Expenses and thereby become a Declining Party, then the other </w:t>
      </w:r>
      <w:proofErr w:type="gramStart"/>
      <w:r w:rsidRPr="00A66E3E">
        <w:rPr>
          <w:sz w:val="24"/>
        </w:rPr>
        <w:t>Party(</w:t>
      </w:r>
      <w:proofErr w:type="spellStart"/>
      <w:proofErr w:type="gramEnd"/>
      <w:r w:rsidRPr="00A66E3E">
        <w:rPr>
          <w:sz w:val="24"/>
        </w:rPr>
        <w:t>ies</w:t>
      </w:r>
      <w:proofErr w:type="spellEnd"/>
      <w:r w:rsidRPr="00A66E3E">
        <w:rPr>
          <w:sz w:val="24"/>
        </w:rPr>
        <w:t xml:space="preserve">) may elect to (a) pay the Declining Party’s Share of Patent Expenses and receive a __% Administration Fee from the Net Consideration from such Patent Rights, or (b) terminate the Agreement by providing 30 days prior written notice. </w:t>
      </w:r>
    </w:p>
    <w:p w:rsidR="00BA55B0" w:rsidRPr="00A66E3E" w:rsidRDefault="00BA55B0" w:rsidP="00BA55B0">
      <w:pPr>
        <w:pStyle w:val="1AutoList3"/>
        <w:ind w:left="0" w:firstLine="0"/>
        <w:rPr>
          <w:sz w:val="24"/>
        </w:rPr>
      </w:pPr>
    </w:p>
    <w:p w:rsidR="00BA55B0" w:rsidRPr="00A66E3E" w:rsidRDefault="00BA55B0" w:rsidP="00BA55B0">
      <w:pPr>
        <w:pStyle w:val="NumContHalf"/>
        <w:spacing w:after="120"/>
        <w:rPr>
          <w:szCs w:val="24"/>
        </w:rPr>
      </w:pPr>
      <w:r w:rsidRPr="00A66E3E">
        <w:rPr>
          <w:i/>
          <w:szCs w:val="24"/>
        </w:rPr>
        <w:t>B. Declining Party does not receive a share of revenue</w:t>
      </w:r>
      <w:r w:rsidRPr="00A66E3E">
        <w:rPr>
          <w:szCs w:val="24"/>
        </w:rPr>
        <w:t xml:space="preserve">: </w:t>
      </w:r>
    </w:p>
    <w:p w:rsidR="00BA55B0" w:rsidRPr="00A66E3E" w:rsidRDefault="00BA55B0" w:rsidP="00BA55B0">
      <w:pPr>
        <w:pStyle w:val="1AutoList3"/>
        <w:ind w:left="0" w:firstLine="0"/>
        <w:rPr>
          <w:sz w:val="24"/>
        </w:rPr>
      </w:pPr>
    </w:p>
    <w:p w:rsidR="00BA55B0" w:rsidRPr="00A66E3E" w:rsidRDefault="00BA55B0" w:rsidP="00BA55B0">
      <w:pPr>
        <w:pStyle w:val="1AutoList3"/>
        <w:ind w:left="0" w:firstLine="0"/>
        <w:rPr>
          <w:sz w:val="24"/>
        </w:rPr>
      </w:pPr>
      <w:r w:rsidRPr="00A66E3E">
        <w:rPr>
          <w:sz w:val="24"/>
        </w:rPr>
        <w:tab/>
        <w:t xml:space="preserve">2.4 </w:t>
      </w:r>
      <w:r w:rsidRPr="00A66E3E">
        <w:rPr>
          <w:sz w:val="24"/>
          <w:u w:val="single"/>
        </w:rPr>
        <w:t>Consequences of Declining Payment of Patent Expenses</w:t>
      </w:r>
      <w:r w:rsidRPr="00A66E3E">
        <w:rPr>
          <w:sz w:val="24"/>
        </w:rPr>
        <w:t xml:space="preserve">. If a Party elects to abandon particular Patent Rights or elects to not pay or discontinue paying its Share of Patent Expenses and thereby become a Declining Party, then the other </w:t>
      </w:r>
      <w:proofErr w:type="gramStart"/>
      <w:r w:rsidRPr="00A66E3E">
        <w:rPr>
          <w:sz w:val="24"/>
        </w:rPr>
        <w:t>Party(</w:t>
      </w:r>
      <w:proofErr w:type="spellStart"/>
      <w:proofErr w:type="gramEnd"/>
      <w:r w:rsidRPr="00A66E3E">
        <w:rPr>
          <w:sz w:val="24"/>
        </w:rPr>
        <w:t>ies</w:t>
      </w:r>
      <w:proofErr w:type="spellEnd"/>
      <w:r w:rsidRPr="00A66E3E">
        <w:rPr>
          <w:sz w:val="24"/>
        </w:rPr>
        <w:t>) may elect to (a) pay the Declining Party’s Share of Patent Expenses, in which case the Declining Party will no longer be entitled to a Share of Net Consideration from such Patent Rights, or (b) terminate the Agreement by providing 30 days prior written notice.</w:t>
      </w:r>
    </w:p>
    <w:p w:rsidR="00BA55B0" w:rsidRPr="00A66E3E" w:rsidRDefault="00BA55B0" w:rsidP="00BA55B0">
      <w:pPr>
        <w:pStyle w:val="1AutoList3"/>
        <w:ind w:left="0" w:firstLine="0"/>
        <w:rPr>
          <w:sz w:val="24"/>
        </w:rPr>
      </w:pPr>
    </w:p>
    <w:p w:rsidR="00BA55B0" w:rsidRPr="00A66E3E" w:rsidRDefault="00BA55B0" w:rsidP="00BA55B0">
      <w:pPr>
        <w:pStyle w:val="NumContHalf"/>
        <w:spacing w:after="120"/>
        <w:jc w:val="left"/>
        <w:rPr>
          <w:szCs w:val="24"/>
        </w:rPr>
      </w:pPr>
      <w:r w:rsidRPr="00A66E3E">
        <w:rPr>
          <w:i/>
          <w:szCs w:val="24"/>
        </w:rPr>
        <w:t>C. Declining Party does not receive a share of revenues, but its inventors do. [Note: if paragraph 2.4 is replaced with this alternative, then a reference should be added at the end of paragraph 4.4 to the effect of “except as set forth in Paragraph 2.4.”]</w:t>
      </w:r>
    </w:p>
    <w:p w:rsidR="00BA55B0" w:rsidRPr="00A66E3E" w:rsidRDefault="00BA55B0" w:rsidP="00BA55B0">
      <w:pPr>
        <w:pStyle w:val="1AutoList3"/>
        <w:ind w:left="0" w:firstLine="0"/>
        <w:rPr>
          <w:sz w:val="24"/>
        </w:rPr>
      </w:pPr>
    </w:p>
    <w:p w:rsidR="00BA55B0" w:rsidRPr="00A66E3E" w:rsidRDefault="00BA55B0" w:rsidP="00BA55B0">
      <w:pPr>
        <w:pStyle w:val="1AutoList3"/>
        <w:ind w:left="0" w:firstLine="0"/>
        <w:rPr>
          <w:sz w:val="24"/>
        </w:rPr>
      </w:pPr>
      <w:r w:rsidRPr="00A66E3E">
        <w:rPr>
          <w:sz w:val="24"/>
        </w:rPr>
        <w:tab/>
        <w:t xml:space="preserve">2.4 </w:t>
      </w:r>
      <w:r w:rsidRPr="00A66E3E">
        <w:rPr>
          <w:sz w:val="24"/>
          <w:u w:val="single"/>
        </w:rPr>
        <w:t>Consequences of Declining Payment of Patent Expenses</w:t>
      </w:r>
      <w:r w:rsidRPr="00A66E3E">
        <w:rPr>
          <w:sz w:val="24"/>
        </w:rPr>
        <w:t>. If a Party elects to abandon particular Patent Rights or elects to not pay or discontinue paying its Share of Patent Expenses and thereby become a Declining Party, then the other Party(</w:t>
      </w:r>
      <w:proofErr w:type="spellStart"/>
      <w:r w:rsidRPr="00A66E3E">
        <w:rPr>
          <w:sz w:val="24"/>
        </w:rPr>
        <w:t>ies</w:t>
      </w:r>
      <w:proofErr w:type="spellEnd"/>
      <w:r w:rsidRPr="00A66E3E">
        <w:rPr>
          <w:sz w:val="24"/>
        </w:rPr>
        <w:t xml:space="preserve">) may elect to (a) pay the Declining Party’s Share of Patent Expenses, in which case the Declining Party will no longer be entitled to a Share of Net Consideration from such Patent Rights, but the paying Party will pay the Declining Party’s inventors a share of such Net Consideration in accordance with the paying Party’s policy, or (b) terminate the Agreement by providing 30 days prior written notice. </w:t>
      </w:r>
    </w:p>
    <w:p w:rsidR="00BA55B0" w:rsidRPr="00A66E3E" w:rsidRDefault="00BA55B0" w:rsidP="00BA55B0">
      <w:pPr>
        <w:pStyle w:val="1AutoList3"/>
        <w:ind w:left="0" w:firstLine="0"/>
        <w:rPr>
          <w:sz w:val="24"/>
        </w:rPr>
      </w:pPr>
    </w:p>
    <w:p w:rsidR="00BA55B0" w:rsidRPr="00A66E3E" w:rsidRDefault="00BA55B0" w:rsidP="00BA55B0">
      <w:pPr>
        <w:pStyle w:val="NumContHalf"/>
        <w:spacing w:after="120"/>
        <w:rPr>
          <w:szCs w:val="24"/>
        </w:rPr>
      </w:pPr>
      <w:r w:rsidRPr="00A66E3E">
        <w:rPr>
          <w:i/>
          <w:szCs w:val="24"/>
        </w:rPr>
        <w:t>D. Declining Party’s share of revenue is reduced:</w:t>
      </w:r>
      <w:r w:rsidRPr="00A66E3E">
        <w:rPr>
          <w:szCs w:val="24"/>
        </w:rPr>
        <w:t xml:space="preserve"> </w:t>
      </w:r>
    </w:p>
    <w:p w:rsidR="00BD0121" w:rsidRDefault="00BD0121" w:rsidP="00BA55B0">
      <w:pPr>
        <w:pStyle w:val="1AutoList3"/>
        <w:ind w:left="0" w:firstLine="0"/>
        <w:rPr>
          <w:sz w:val="24"/>
        </w:rPr>
      </w:pPr>
    </w:p>
    <w:p w:rsidR="00BA55B0" w:rsidRPr="00A66E3E" w:rsidRDefault="00BA55B0" w:rsidP="00BA55B0">
      <w:pPr>
        <w:pStyle w:val="1AutoList3"/>
        <w:ind w:left="0" w:firstLine="0"/>
        <w:rPr>
          <w:sz w:val="24"/>
        </w:rPr>
      </w:pPr>
      <w:r w:rsidRPr="00A66E3E">
        <w:rPr>
          <w:sz w:val="24"/>
        </w:rPr>
        <w:tab/>
        <w:t xml:space="preserve">2.4 </w:t>
      </w:r>
      <w:r w:rsidRPr="00A66E3E">
        <w:rPr>
          <w:sz w:val="24"/>
          <w:u w:val="single"/>
        </w:rPr>
        <w:t>Consequences of Declining Payment of Patent Expenses</w:t>
      </w:r>
      <w:r w:rsidRPr="00A66E3E">
        <w:rPr>
          <w:sz w:val="24"/>
        </w:rPr>
        <w:t>. If a Party elects to abandon particular Patent Rights or elects to not pay or discontinue paying its Share of Patent Expenses and thereby become a Declining Party, then the other Party(</w:t>
      </w:r>
      <w:proofErr w:type="spellStart"/>
      <w:r w:rsidRPr="00A66E3E">
        <w:rPr>
          <w:sz w:val="24"/>
        </w:rPr>
        <w:t>ies</w:t>
      </w:r>
      <w:proofErr w:type="spellEnd"/>
      <w:r w:rsidRPr="00A66E3E">
        <w:rPr>
          <w:sz w:val="24"/>
        </w:rPr>
        <w:t xml:space="preserve">) may elect to (a) pay the </w:t>
      </w:r>
      <w:r w:rsidRPr="00A66E3E">
        <w:rPr>
          <w:sz w:val="24"/>
        </w:rPr>
        <w:lastRenderedPageBreak/>
        <w:t xml:space="preserve">Declining Party’s Share of Patent Expenses, in which case the Share of Net Consideration for the Declining Party with respect to such Patent Rights will be reduced to ___% if the Declining Party is the Lead Institution or ___% if the Declining Party is the Other Institution, or (b) terminate the Agreement by providing 30 days prior written notice. </w:t>
      </w:r>
    </w:p>
    <w:p w:rsidR="00A66E3E" w:rsidRDefault="00A66E3E" w:rsidP="004D658A">
      <w:pPr>
        <w:pStyle w:val="NumContHalf"/>
        <w:spacing w:after="120"/>
        <w:ind w:firstLine="0"/>
        <w:rPr>
          <w:b/>
          <w:szCs w:val="24"/>
          <w:u w:val="single"/>
        </w:rPr>
      </w:pPr>
    </w:p>
    <w:p w:rsidR="00BD0121" w:rsidRDefault="004D658A" w:rsidP="00BD0121">
      <w:pPr>
        <w:pStyle w:val="NumContHalf"/>
        <w:spacing w:after="120"/>
        <w:ind w:firstLine="0"/>
        <w:rPr>
          <w:i/>
          <w:szCs w:val="24"/>
        </w:rPr>
      </w:pPr>
      <w:r w:rsidRPr="00A66E3E">
        <w:rPr>
          <w:b/>
          <w:i/>
          <w:szCs w:val="24"/>
          <w:u w:val="single"/>
        </w:rPr>
        <w:t>Audit Rights (paragraph 5.4)</w:t>
      </w:r>
    </w:p>
    <w:p w:rsidR="004D658A" w:rsidRDefault="004D658A" w:rsidP="00BD0121">
      <w:pPr>
        <w:pStyle w:val="NumContHalf"/>
        <w:spacing w:after="120"/>
        <w:ind w:firstLine="0"/>
        <w:rPr>
          <w:i/>
          <w:szCs w:val="24"/>
        </w:rPr>
      </w:pPr>
      <w:proofErr w:type="gramStart"/>
      <w:r w:rsidRPr="00A66E3E">
        <w:rPr>
          <w:i/>
          <w:szCs w:val="24"/>
        </w:rPr>
        <w:t xml:space="preserve">Paragraph 5.1 </w:t>
      </w:r>
      <w:r w:rsidR="00A66E3E">
        <w:rPr>
          <w:i/>
          <w:szCs w:val="24"/>
        </w:rPr>
        <w:t>of</w:t>
      </w:r>
      <w:r w:rsidRPr="00A66E3E">
        <w:rPr>
          <w:i/>
          <w:szCs w:val="24"/>
        </w:rPr>
        <w:t xml:space="preserve"> the template states that a non-lead party may review the books and records of the lead party.</w:t>
      </w:r>
      <w:proofErr w:type="gramEnd"/>
      <w:r w:rsidRPr="00A66E3E">
        <w:rPr>
          <w:i/>
          <w:szCs w:val="24"/>
        </w:rPr>
        <w:t xml:space="preserve"> The following is a more complete audit rights provision for insertion as paragraph 5.4 if desired by the parties.</w:t>
      </w:r>
    </w:p>
    <w:p w:rsidR="00F5131D" w:rsidRPr="00A66E3E" w:rsidRDefault="004D658A" w:rsidP="00BD0121">
      <w:pPr>
        <w:pStyle w:val="NumContHalf"/>
        <w:spacing w:after="120"/>
        <w:jc w:val="left"/>
        <w:rPr>
          <w:szCs w:val="24"/>
          <w:highlight w:val="yellow"/>
        </w:rPr>
      </w:pPr>
      <w:proofErr w:type="gramStart"/>
      <w:r w:rsidRPr="00A66E3E">
        <w:rPr>
          <w:szCs w:val="24"/>
        </w:rPr>
        <w:t>5</w:t>
      </w:r>
      <w:r w:rsidR="00F5131D" w:rsidRPr="00A66E3E">
        <w:rPr>
          <w:szCs w:val="24"/>
        </w:rPr>
        <w:t xml:space="preserve">.4  </w:t>
      </w:r>
      <w:r w:rsidR="00F5131D" w:rsidRPr="00A66E3E">
        <w:rPr>
          <w:rStyle w:val="Heading2"/>
          <w:szCs w:val="24"/>
          <w:u w:val="none"/>
        </w:rPr>
        <w:t>Audit</w:t>
      </w:r>
      <w:proofErr w:type="gramEnd"/>
      <w:r w:rsidRPr="00A66E3E">
        <w:rPr>
          <w:rStyle w:val="Heading2"/>
          <w:szCs w:val="24"/>
          <w:u w:val="none"/>
        </w:rPr>
        <w:t xml:space="preserve"> Rights</w:t>
      </w:r>
      <w:r w:rsidR="00F5131D" w:rsidRPr="00A66E3E">
        <w:rPr>
          <w:szCs w:val="24"/>
        </w:rPr>
        <w:t xml:space="preserve">. Lead Institution shall permit a certified public accountant engaged by an Other Institution or a state auditor (if the Other Institution is a state government institution) to audit Lead Institution’s books and records related to the License Consideration and the calculation of the Net Consideration and the Share of Net Consideration, subject to the accountant or auditor entering into appropriate confidentiality restrictions as permitted by law. Such an audit may be exercised during normal business hours upon at least 30 days’ prior written notice to the Lead Institution, but not more frequently than once in any 12-month period. The Other Institution initiating the audit shall pay the costs for said audit unless there is an underpayment by the Lead Institution of more than 10% of the amount owed to the Other Institution(s) for the period of time covered by the audit, in which case the Lead Institution will pay the out of pocket cost of the audit, not to exceed the amount of the underpayment. The Lead Institution will pay any past due amounts within 30 days of the results of such audit. </w:t>
      </w:r>
    </w:p>
    <w:p w:rsidR="00BD0121" w:rsidRDefault="00BD0121" w:rsidP="00A66E3E">
      <w:pPr>
        <w:pStyle w:val="NumContHalf"/>
        <w:ind w:firstLine="0"/>
        <w:jc w:val="left"/>
        <w:rPr>
          <w:b/>
          <w:i/>
          <w:szCs w:val="24"/>
          <w:u w:val="single"/>
        </w:rPr>
      </w:pPr>
    </w:p>
    <w:p w:rsidR="004D658A" w:rsidRPr="00A66E3E" w:rsidRDefault="00BA55B0" w:rsidP="00A66E3E">
      <w:pPr>
        <w:pStyle w:val="NumContHalf"/>
        <w:ind w:firstLine="0"/>
        <w:jc w:val="left"/>
        <w:rPr>
          <w:b/>
          <w:i/>
          <w:szCs w:val="24"/>
        </w:rPr>
      </w:pPr>
      <w:r w:rsidRPr="00A66E3E">
        <w:rPr>
          <w:b/>
          <w:i/>
          <w:szCs w:val="24"/>
          <w:u w:val="single"/>
        </w:rPr>
        <w:t>Consequences of Agreement Termination</w:t>
      </w:r>
      <w:r w:rsidR="004D658A" w:rsidRPr="00A66E3E">
        <w:rPr>
          <w:b/>
          <w:i/>
          <w:szCs w:val="24"/>
          <w:u w:val="single"/>
        </w:rPr>
        <w:t xml:space="preserve"> (paragraph 9.3)</w:t>
      </w:r>
      <w:r w:rsidRPr="00A66E3E">
        <w:rPr>
          <w:b/>
          <w:i/>
          <w:szCs w:val="24"/>
        </w:rPr>
        <w:t xml:space="preserve">. </w:t>
      </w:r>
    </w:p>
    <w:p w:rsidR="00BA55B0" w:rsidRPr="00A66E3E" w:rsidRDefault="00BA55B0" w:rsidP="00A66E3E">
      <w:pPr>
        <w:pStyle w:val="NumContHalf"/>
        <w:ind w:firstLine="0"/>
        <w:jc w:val="left"/>
        <w:rPr>
          <w:i/>
          <w:szCs w:val="24"/>
        </w:rPr>
      </w:pPr>
      <w:r w:rsidRPr="00A66E3E">
        <w:rPr>
          <w:i/>
          <w:szCs w:val="24"/>
        </w:rPr>
        <w:t xml:space="preserve">The following is an alternative clause for Paragraph 9.3, the section which provides whether there are ongoing responsibilities with respect to the patent rights after termination of the Agreement. </w:t>
      </w:r>
    </w:p>
    <w:p w:rsidR="00BA55B0" w:rsidRPr="00A66E3E" w:rsidRDefault="00BA55B0" w:rsidP="00A66E3E">
      <w:pPr>
        <w:spacing w:after="240" w:line="240" w:lineRule="auto"/>
        <w:ind w:right="270" w:firstLine="432"/>
        <w:rPr>
          <w:rFonts w:ascii="Times New Roman" w:hAnsi="Times New Roman" w:cs="Times New Roman"/>
          <w:sz w:val="24"/>
          <w:szCs w:val="24"/>
        </w:rPr>
      </w:pPr>
      <w:r w:rsidRPr="00A66E3E">
        <w:rPr>
          <w:rFonts w:ascii="Times New Roman" w:hAnsi="Times New Roman" w:cs="Times New Roman"/>
          <w:sz w:val="24"/>
          <w:szCs w:val="24"/>
        </w:rPr>
        <w:t xml:space="preserve">After effective termination of this Agreement and subject to any previously signed License Agreement, each Party shall pay its Share of Patent Expenses in the ongoing preparation, prosecution, and maintenance of Patent Rights unless it has previously elected to discontinue paying such expenses or subsequently declines to make such payments. If any Party has previously declined to pay its Share of Patent Expenses or subsequently does so, then the Declining Party covenants and agrees that for so long as the other </w:t>
      </w:r>
      <w:proofErr w:type="gramStart"/>
      <w:r w:rsidRPr="00A66E3E">
        <w:rPr>
          <w:rFonts w:ascii="Times New Roman" w:hAnsi="Times New Roman" w:cs="Times New Roman"/>
          <w:sz w:val="24"/>
          <w:szCs w:val="24"/>
        </w:rPr>
        <w:t>Party(</w:t>
      </w:r>
      <w:proofErr w:type="spellStart"/>
      <w:proofErr w:type="gramEnd"/>
      <w:r w:rsidRPr="00A66E3E">
        <w:rPr>
          <w:rFonts w:ascii="Times New Roman" w:hAnsi="Times New Roman" w:cs="Times New Roman"/>
          <w:sz w:val="24"/>
          <w:szCs w:val="24"/>
        </w:rPr>
        <w:t>ies</w:t>
      </w:r>
      <w:proofErr w:type="spellEnd"/>
      <w:r w:rsidRPr="00A66E3E">
        <w:rPr>
          <w:rFonts w:ascii="Times New Roman" w:hAnsi="Times New Roman" w:cs="Times New Roman"/>
          <w:sz w:val="24"/>
          <w:szCs w:val="24"/>
        </w:rPr>
        <w:t>) continue to pay such expenses, that the consequences set forth in Paragraph 2.4 will apply and the Declining Party will not grant any interests in the Patent Rights, such covenant and agreement to survive termination of this Agreement.  Each paying Party hereto shall be entitled to separately license its interest in the Patent Rights.</w:t>
      </w:r>
    </w:p>
    <w:p w:rsidR="004D658A" w:rsidRPr="00A66E3E" w:rsidRDefault="00BA55B0" w:rsidP="00A66E3E">
      <w:pPr>
        <w:pStyle w:val="NumContHalf"/>
        <w:ind w:firstLine="0"/>
        <w:jc w:val="left"/>
        <w:rPr>
          <w:b/>
          <w:i/>
          <w:szCs w:val="24"/>
        </w:rPr>
      </w:pPr>
      <w:r w:rsidRPr="00A66E3E">
        <w:rPr>
          <w:b/>
          <w:i/>
          <w:szCs w:val="24"/>
          <w:u w:val="single"/>
        </w:rPr>
        <w:t>Change in Lead Institution</w:t>
      </w:r>
      <w:r w:rsidRPr="00A66E3E">
        <w:rPr>
          <w:b/>
          <w:i/>
          <w:szCs w:val="24"/>
        </w:rPr>
        <w:t xml:space="preserve">. </w:t>
      </w:r>
    </w:p>
    <w:p w:rsidR="00BA55B0" w:rsidRPr="00A66E3E" w:rsidRDefault="00BA55B0" w:rsidP="00A66E3E">
      <w:pPr>
        <w:pStyle w:val="NumContHalf"/>
        <w:ind w:firstLine="0"/>
        <w:jc w:val="left"/>
        <w:rPr>
          <w:i/>
          <w:szCs w:val="24"/>
        </w:rPr>
      </w:pPr>
      <w:r w:rsidRPr="00A66E3E">
        <w:rPr>
          <w:i/>
          <w:szCs w:val="24"/>
        </w:rPr>
        <w:lastRenderedPageBreak/>
        <w:t xml:space="preserve">The following paragraph can be added </w:t>
      </w:r>
      <w:r w:rsidR="004D658A" w:rsidRPr="00A66E3E">
        <w:rPr>
          <w:i/>
          <w:szCs w:val="24"/>
        </w:rPr>
        <w:t xml:space="preserve">at the end of </w:t>
      </w:r>
      <w:r w:rsidRPr="00A66E3E">
        <w:rPr>
          <w:i/>
          <w:szCs w:val="24"/>
        </w:rPr>
        <w:t>the Agreement to enable a change in Lead Institution for the initial Lead Institution failing to enter into a license within three years or declining to continue paying costs for a substantial portion of the Patent Rights.</w:t>
      </w:r>
    </w:p>
    <w:p w:rsidR="00BA55B0" w:rsidRPr="00A66E3E" w:rsidRDefault="00BA55B0" w:rsidP="00A66E3E">
      <w:pPr>
        <w:pStyle w:val="Heading1"/>
        <w:spacing w:after="240"/>
        <w:ind w:right="270"/>
        <w:jc w:val="both"/>
      </w:pPr>
      <w:r w:rsidRPr="00A66E3E">
        <w:t>17. Change in Lead Institution</w:t>
      </w:r>
    </w:p>
    <w:p w:rsidR="00BA55B0" w:rsidRPr="00A66E3E" w:rsidRDefault="00BA55B0"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An Other Institution may elect to become the Lead Institution by providing written notice to the Lead Institution if either: (a) the Lead Institution has elected to withdraw from paying its Share of Patent Expenses for all or a substantial portion of the Patent Rights in accordance with Paragraph 2.3 and such Other Institution has elected to pay Patent Expenses to maintain such Patent Rights, or (b) the current Lead Institution has been the Lead Institution for more than three years and the Agreement is terminable in accordance with Paragraph 9.2 because no License Agreement is currently in place and the Lead Institution is not actively engaged in a License Agreement negotiation. Such election shall become effective 30 days after written notice is given. In the event of a change in Lead Institution, the previous Lead Institution shall be entitled to the Administration Fee, if any, from License Consideration paid prior to the change. The Party serving as replacement Lead Institution shall be entitled to the Administration Fee, if any, from License Consideration paid after the change. There will be no change in each Party’s Share of Patent Expenses as a result of a change in Lead Institution. </w:t>
      </w:r>
    </w:p>
    <w:p w:rsidR="004D658A" w:rsidRPr="00A66E3E" w:rsidRDefault="00BA55B0" w:rsidP="00A66E3E">
      <w:pPr>
        <w:pStyle w:val="NumContHalf"/>
        <w:ind w:firstLine="0"/>
        <w:jc w:val="left"/>
        <w:rPr>
          <w:b/>
          <w:i/>
          <w:szCs w:val="24"/>
          <w:u w:val="single"/>
        </w:rPr>
      </w:pPr>
      <w:r w:rsidRPr="00A66E3E">
        <w:rPr>
          <w:b/>
          <w:i/>
          <w:szCs w:val="24"/>
        </w:rPr>
        <w:t xml:space="preserve"> </w:t>
      </w:r>
      <w:r w:rsidRPr="00A66E3E">
        <w:rPr>
          <w:b/>
          <w:i/>
          <w:szCs w:val="24"/>
          <w:u w:val="single"/>
        </w:rPr>
        <w:t xml:space="preserve">Change in inventors.  </w:t>
      </w:r>
    </w:p>
    <w:p w:rsidR="00BA55B0" w:rsidRPr="00A66E3E" w:rsidRDefault="00BA55B0" w:rsidP="00A66E3E">
      <w:pPr>
        <w:pStyle w:val="NumContHalf"/>
        <w:ind w:firstLine="0"/>
        <w:jc w:val="left"/>
        <w:rPr>
          <w:i/>
          <w:szCs w:val="24"/>
        </w:rPr>
      </w:pPr>
      <w:r w:rsidRPr="00A66E3E">
        <w:rPr>
          <w:i/>
          <w:szCs w:val="24"/>
        </w:rPr>
        <w:t xml:space="preserve">The following are alternative clauses that can be added to the </w:t>
      </w:r>
      <w:r w:rsidR="004D658A" w:rsidRPr="00A66E3E">
        <w:rPr>
          <w:i/>
          <w:szCs w:val="24"/>
        </w:rPr>
        <w:t xml:space="preserve">end of the </w:t>
      </w:r>
      <w:r w:rsidRPr="00A66E3E">
        <w:rPr>
          <w:i/>
          <w:szCs w:val="24"/>
        </w:rPr>
        <w:t xml:space="preserve">Agreement to address the situation involving a subsequent change in </w:t>
      </w:r>
      <w:proofErr w:type="spellStart"/>
      <w:r w:rsidRPr="00A66E3E">
        <w:rPr>
          <w:i/>
          <w:szCs w:val="24"/>
        </w:rPr>
        <w:t>inventorship</w:t>
      </w:r>
      <w:proofErr w:type="spellEnd"/>
      <w:r w:rsidRPr="00A66E3E">
        <w:rPr>
          <w:i/>
          <w:szCs w:val="24"/>
        </w:rPr>
        <w:t xml:space="preserve">. </w:t>
      </w:r>
    </w:p>
    <w:p w:rsidR="00BA55B0" w:rsidRPr="00A66E3E" w:rsidRDefault="00BA55B0" w:rsidP="00A66E3E">
      <w:pPr>
        <w:pStyle w:val="NumContHalf"/>
        <w:rPr>
          <w:szCs w:val="24"/>
        </w:rPr>
      </w:pPr>
      <w:r w:rsidRPr="00A66E3E">
        <w:rPr>
          <w:i/>
          <w:szCs w:val="24"/>
        </w:rPr>
        <w:t>A. Sole owner may remove patent from IIA</w:t>
      </w:r>
      <w:r w:rsidRPr="00A66E3E">
        <w:rPr>
          <w:szCs w:val="24"/>
        </w:rPr>
        <w:t xml:space="preserve">: </w:t>
      </w:r>
    </w:p>
    <w:p w:rsidR="00BA55B0" w:rsidRPr="00A66E3E" w:rsidRDefault="00BA55B0" w:rsidP="00A66E3E">
      <w:pPr>
        <w:spacing w:after="240" w:line="240" w:lineRule="auto"/>
        <w:rPr>
          <w:rFonts w:ascii="Times New Roman" w:hAnsi="Times New Roman" w:cs="Times New Roman"/>
          <w:b/>
          <w:sz w:val="24"/>
          <w:szCs w:val="24"/>
        </w:rPr>
      </w:pPr>
      <w:r w:rsidRPr="00A66E3E">
        <w:rPr>
          <w:rFonts w:ascii="Times New Roman" w:hAnsi="Times New Roman" w:cs="Times New Roman"/>
          <w:b/>
          <w:sz w:val="24"/>
          <w:szCs w:val="24"/>
        </w:rPr>
        <w:t>18. Change in Inventors</w:t>
      </w:r>
    </w:p>
    <w:p w:rsidR="00BA55B0" w:rsidRPr="00A66E3E" w:rsidRDefault="00BA55B0"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Should any patent or patent application included in the Patent Rights no longer be co-owned by the Parties (e.g., because all of the inventors of a divisional of the parent application are from one of the Institutions or because of an </w:t>
      </w:r>
      <w:proofErr w:type="spellStart"/>
      <w:r w:rsidRPr="00A66E3E">
        <w:rPr>
          <w:rFonts w:ascii="Times New Roman" w:hAnsi="Times New Roman" w:cs="Times New Roman"/>
          <w:sz w:val="24"/>
          <w:szCs w:val="24"/>
        </w:rPr>
        <w:t>inventorship</w:t>
      </w:r>
      <w:proofErr w:type="spellEnd"/>
      <w:r w:rsidRPr="00A66E3E">
        <w:rPr>
          <w:rFonts w:ascii="Times New Roman" w:hAnsi="Times New Roman" w:cs="Times New Roman"/>
          <w:sz w:val="24"/>
          <w:szCs w:val="24"/>
        </w:rPr>
        <w:t xml:space="preserve"> determination), the Institutions hereby agree that such patent application or patent shall remain included within the definition of Patent Rights set forth in Section 1 of this Agreement. However, the Party owning such solely-owned patent application or patent may notify the other </w:t>
      </w:r>
      <w:proofErr w:type="gramStart"/>
      <w:r w:rsidRPr="00A66E3E">
        <w:rPr>
          <w:rFonts w:ascii="Times New Roman" w:hAnsi="Times New Roman" w:cs="Times New Roman"/>
          <w:sz w:val="24"/>
          <w:szCs w:val="24"/>
        </w:rPr>
        <w:t>Party(</w:t>
      </w:r>
      <w:proofErr w:type="spellStart"/>
      <w:proofErr w:type="gramEnd"/>
      <w:r w:rsidRPr="00A66E3E">
        <w:rPr>
          <w:rFonts w:ascii="Times New Roman" w:hAnsi="Times New Roman" w:cs="Times New Roman"/>
          <w:sz w:val="24"/>
          <w:szCs w:val="24"/>
        </w:rPr>
        <w:t>ies</w:t>
      </w:r>
      <w:proofErr w:type="spellEnd"/>
      <w:r w:rsidRPr="00A66E3E">
        <w:rPr>
          <w:rFonts w:ascii="Times New Roman" w:hAnsi="Times New Roman" w:cs="Times New Roman"/>
          <w:sz w:val="24"/>
          <w:szCs w:val="24"/>
        </w:rPr>
        <w:t>) that such solely owned patent application or patent shall no longer be subject to this Agreement, provided that at the time of the notice, the solely owned patent application or patent is not subject to an existing License Agreement or active license negotiations with a third party. </w:t>
      </w:r>
    </w:p>
    <w:p w:rsidR="00BA55B0" w:rsidRPr="00A66E3E" w:rsidRDefault="00BA55B0" w:rsidP="00A66E3E">
      <w:pPr>
        <w:pStyle w:val="NumContHalf"/>
        <w:jc w:val="left"/>
        <w:rPr>
          <w:szCs w:val="24"/>
        </w:rPr>
      </w:pPr>
      <w:r w:rsidRPr="00A66E3E">
        <w:rPr>
          <w:i/>
          <w:szCs w:val="24"/>
        </w:rPr>
        <w:t xml:space="preserve">B. If change is significant, </w:t>
      </w:r>
      <w:proofErr w:type="gramStart"/>
      <w:r w:rsidRPr="00A66E3E">
        <w:rPr>
          <w:i/>
          <w:szCs w:val="24"/>
        </w:rPr>
        <w:t>then</w:t>
      </w:r>
      <w:proofErr w:type="gramEnd"/>
      <w:r w:rsidRPr="00A66E3E">
        <w:rPr>
          <w:i/>
          <w:szCs w:val="24"/>
        </w:rPr>
        <w:t xml:space="preserve"> the parties negotiate changes in sharing percentages:</w:t>
      </w:r>
      <w:r w:rsidRPr="00A66E3E">
        <w:rPr>
          <w:szCs w:val="24"/>
        </w:rPr>
        <w:t xml:space="preserve"> </w:t>
      </w:r>
    </w:p>
    <w:p w:rsidR="00BA55B0" w:rsidRPr="00A66E3E" w:rsidRDefault="00BA55B0" w:rsidP="00A66E3E">
      <w:pPr>
        <w:spacing w:after="240" w:line="240" w:lineRule="auto"/>
        <w:rPr>
          <w:rFonts w:ascii="Times New Roman" w:hAnsi="Times New Roman" w:cs="Times New Roman"/>
          <w:b/>
          <w:sz w:val="24"/>
          <w:szCs w:val="24"/>
        </w:rPr>
      </w:pPr>
      <w:r w:rsidRPr="00A66E3E">
        <w:rPr>
          <w:rFonts w:ascii="Times New Roman" w:hAnsi="Times New Roman" w:cs="Times New Roman"/>
          <w:b/>
          <w:sz w:val="24"/>
          <w:szCs w:val="24"/>
        </w:rPr>
        <w:t>18. Change in Inventors</w:t>
      </w:r>
    </w:p>
    <w:p w:rsidR="00BA55B0" w:rsidRPr="00A66E3E" w:rsidRDefault="00BA55B0" w:rsidP="00A66E3E">
      <w:pPr>
        <w:spacing w:after="240" w:line="240" w:lineRule="auto"/>
        <w:rPr>
          <w:rFonts w:ascii="Times New Roman" w:hAnsi="Times New Roman" w:cs="Times New Roman"/>
          <w:sz w:val="24"/>
          <w:szCs w:val="24"/>
        </w:rPr>
      </w:pPr>
      <w:r w:rsidRPr="00A66E3E">
        <w:rPr>
          <w:rFonts w:ascii="Times New Roman" w:hAnsi="Times New Roman" w:cs="Times New Roman"/>
          <w:sz w:val="24"/>
          <w:szCs w:val="24"/>
        </w:rPr>
        <w:t xml:space="preserve">If (a) it is subsequently determined that any inventor identified in the Patent Rights is not actually an inventor under patent law or an additional inventor exists with respect to the Patent Rights and (b) such removal or addition of inventors results in a significant change in the </w:t>
      </w:r>
      <w:r w:rsidRPr="00A66E3E">
        <w:rPr>
          <w:rFonts w:ascii="Times New Roman" w:hAnsi="Times New Roman" w:cs="Times New Roman"/>
          <w:sz w:val="24"/>
          <w:szCs w:val="24"/>
        </w:rPr>
        <w:lastRenderedPageBreak/>
        <w:t>contributions of the Parties to the Patent Rights, then the Parties shall negotiate in good faith to amend prospectively the Share of Net Consideration and Share of Patent Expenses provisions of this Agreement to more accurately reflect the contribution of each Party to the Patent Rights.</w:t>
      </w:r>
    </w:p>
    <w:p w:rsidR="00BA55B0" w:rsidRPr="00A66E3E" w:rsidRDefault="00BA55B0" w:rsidP="00A66E3E">
      <w:pPr>
        <w:spacing w:after="240" w:line="240" w:lineRule="auto"/>
        <w:rPr>
          <w:rFonts w:ascii="Times New Roman" w:hAnsi="Times New Roman" w:cs="Times New Roman"/>
          <w:sz w:val="24"/>
          <w:szCs w:val="24"/>
        </w:rPr>
      </w:pPr>
    </w:p>
    <w:sectPr w:rsidR="00BA55B0" w:rsidRPr="00A66E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B0" w:rsidRDefault="00BA55B0" w:rsidP="00BF34FD">
      <w:pPr>
        <w:spacing w:after="0" w:line="240" w:lineRule="auto"/>
      </w:pPr>
      <w:r>
        <w:separator/>
      </w:r>
    </w:p>
  </w:endnote>
  <w:endnote w:type="continuationSeparator" w:id="0">
    <w:p w:rsidR="00BA55B0" w:rsidRDefault="00BA55B0" w:rsidP="00BF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44850"/>
      <w:docPartObj>
        <w:docPartGallery w:val="Page Numbers (Bottom of Page)"/>
        <w:docPartUnique/>
      </w:docPartObj>
    </w:sdtPr>
    <w:sdtEndPr>
      <w:rPr>
        <w:rFonts w:ascii="Times New Roman" w:hAnsi="Times New Roman" w:cs="Times New Roman"/>
        <w:noProof/>
        <w:sz w:val="16"/>
        <w:szCs w:val="16"/>
      </w:rPr>
    </w:sdtEndPr>
    <w:sdtContent>
      <w:p w:rsidR="00BA55B0" w:rsidRDefault="00BA55B0">
        <w:pPr>
          <w:pStyle w:val="Footer"/>
          <w:jc w:val="center"/>
          <w:rPr>
            <w:noProof/>
          </w:rPr>
        </w:pPr>
        <w:r>
          <w:fldChar w:fldCharType="begin"/>
        </w:r>
        <w:r>
          <w:instrText xml:space="preserve"> PAGE   \* MERGEFORMAT </w:instrText>
        </w:r>
        <w:r>
          <w:fldChar w:fldCharType="separate"/>
        </w:r>
        <w:r w:rsidR="00EC7895">
          <w:rPr>
            <w:noProof/>
          </w:rPr>
          <w:t>1</w:t>
        </w:r>
        <w:r>
          <w:rPr>
            <w:noProof/>
          </w:rPr>
          <w:fldChar w:fldCharType="end"/>
        </w:r>
      </w:p>
      <w:p w:rsidR="00EC7895" w:rsidRPr="00EC7895" w:rsidRDefault="00EC7895" w:rsidP="00F03CF2">
        <w:pPr>
          <w:pStyle w:val="Footer"/>
          <w:rPr>
            <w:rFonts w:ascii="Times New Roman" w:hAnsi="Times New Roman" w:cs="Times New Roman"/>
            <w:sz w:val="16"/>
            <w:szCs w:val="16"/>
          </w:rPr>
        </w:pPr>
        <w:r w:rsidRPr="00EC7895">
          <w:rPr>
            <w:rFonts w:ascii="Times New Roman" w:hAnsi="Times New Roman" w:cs="Times New Roman"/>
            <w:sz w:val="16"/>
            <w:szCs w:val="16"/>
          </w:rPr>
          <w:t>FORM OGC-SC499A</w:t>
        </w:r>
      </w:p>
      <w:p w:rsidR="00EC7895" w:rsidRPr="00EC7895" w:rsidRDefault="00EC7895" w:rsidP="00F03CF2">
        <w:pPr>
          <w:pStyle w:val="Footer"/>
          <w:rPr>
            <w:rFonts w:ascii="Times New Roman" w:hAnsi="Times New Roman" w:cs="Times New Roman"/>
            <w:sz w:val="16"/>
            <w:szCs w:val="16"/>
          </w:rPr>
        </w:pPr>
        <w:r w:rsidRPr="00EC7895">
          <w:rPr>
            <w:rFonts w:ascii="Times New Roman" w:hAnsi="Times New Roman" w:cs="Times New Roman"/>
            <w:sz w:val="16"/>
            <w:szCs w:val="16"/>
          </w:rPr>
          <w:t>Form Date:  3.4.14</w:t>
        </w:r>
      </w:p>
      <w:p w:rsidR="00BA55B0" w:rsidRPr="00EC7895" w:rsidRDefault="00EC7895" w:rsidP="00F03CF2">
        <w:pPr>
          <w:pStyle w:val="Footer"/>
          <w:rPr>
            <w:rFonts w:ascii="Times New Roman" w:hAnsi="Times New Roman" w:cs="Times New Roman"/>
            <w:sz w:val="16"/>
            <w:szCs w:val="16"/>
          </w:rPr>
        </w:pPr>
        <w:r w:rsidRPr="00EC7895">
          <w:rPr>
            <w:rFonts w:ascii="Times New Roman" w:hAnsi="Times New Roman" w:cs="Times New Roman"/>
            <w:sz w:val="16"/>
            <w:szCs w:val="16"/>
          </w:rPr>
          <w:t>Revision Date: 3.4.14</w:t>
        </w:r>
      </w:p>
    </w:sdtContent>
  </w:sdt>
  <w:p w:rsidR="00BA55B0" w:rsidRDefault="00BA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B0" w:rsidRDefault="00BA55B0" w:rsidP="00BF34FD">
      <w:pPr>
        <w:spacing w:after="0" w:line="240" w:lineRule="auto"/>
      </w:pPr>
      <w:r>
        <w:separator/>
      </w:r>
    </w:p>
  </w:footnote>
  <w:footnote w:type="continuationSeparator" w:id="0">
    <w:p w:rsidR="00BA55B0" w:rsidRDefault="00BA55B0" w:rsidP="00BF3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953DE"/>
    <w:multiLevelType w:val="hybridMultilevel"/>
    <w:tmpl w:val="3DE83D0E"/>
    <w:lvl w:ilvl="0" w:tplc="5B0A14E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sWln8Vu0KH2joUUkrkok4yuoz1Y=" w:salt="PccQaWiXCrs1cPG7Hxivo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3A"/>
    <w:rsid w:val="00067E4B"/>
    <w:rsid w:val="00072797"/>
    <w:rsid w:val="00083B7A"/>
    <w:rsid w:val="000B4673"/>
    <w:rsid w:val="001531FD"/>
    <w:rsid w:val="001D2A1C"/>
    <w:rsid w:val="001E0672"/>
    <w:rsid w:val="001F18F5"/>
    <w:rsid w:val="001F26DF"/>
    <w:rsid w:val="002302FB"/>
    <w:rsid w:val="0025541E"/>
    <w:rsid w:val="00256B13"/>
    <w:rsid w:val="002711B7"/>
    <w:rsid w:val="00311115"/>
    <w:rsid w:val="003751D8"/>
    <w:rsid w:val="003E589F"/>
    <w:rsid w:val="003F6B22"/>
    <w:rsid w:val="00402C48"/>
    <w:rsid w:val="00421642"/>
    <w:rsid w:val="0047236A"/>
    <w:rsid w:val="004B2BE3"/>
    <w:rsid w:val="004D658A"/>
    <w:rsid w:val="004E1DF2"/>
    <w:rsid w:val="005A7F66"/>
    <w:rsid w:val="005B33C3"/>
    <w:rsid w:val="005E76D9"/>
    <w:rsid w:val="00655B89"/>
    <w:rsid w:val="006D38AB"/>
    <w:rsid w:val="00710E0F"/>
    <w:rsid w:val="007371A8"/>
    <w:rsid w:val="00753A5B"/>
    <w:rsid w:val="0078173B"/>
    <w:rsid w:val="007A7D33"/>
    <w:rsid w:val="00830083"/>
    <w:rsid w:val="00872414"/>
    <w:rsid w:val="00877A65"/>
    <w:rsid w:val="00896BBB"/>
    <w:rsid w:val="008A401B"/>
    <w:rsid w:val="008E3CA2"/>
    <w:rsid w:val="008F333E"/>
    <w:rsid w:val="00917FBB"/>
    <w:rsid w:val="0092619C"/>
    <w:rsid w:val="00966D63"/>
    <w:rsid w:val="009A2E94"/>
    <w:rsid w:val="009B2BE5"/>
    <w:rsid w:val="009D5FEA"/>
    <w:rsid w:val="00A05BC1"/>
    <w:rsid w:val="00A152A8"/>
    <w:rsid w:val="00A45A15"/>
    <w:rsid w:val="00A66E3E"/>
    <w:rsid w:val="00B43237"/>
    <w:rsid w:val="00BA55B0"/>
    <w:rsid w:val="00BD0121"/>
    <w:rsid w:val="00BF34FD"/>
    <w:rsid w:val="00BF6E80"/>
    <w:rsid w:val="00C12B0A"/>
    <w:rsid w:val="00C665F9"/>
    <w:rsid w:val="00CD7106"/>
    <w:rsid w:val="00D4146C"/>
    <w:rsid w:val="00D5403A"/>
    <w:rsid w:val="00D637E0"/>
    <w:rsid w:val="00D745A2"/>
    <w:rsid w:val="00E15CBC"/>
    <w:rsid w:val="00E206CC"/>
    <w:rsid w:val="00E42BAE"/>
    <w:rsid w:val="00E71513"/>
    <w:rsid w:val="00EB364C"/>
    <w:rsid w:val="00EC7895"/>
    <w:rsid w:val="00F03CF2"/>
    <w:rsid w:val="00F214D3"/>
    <w:rsid w:val="00F5131D"/>
    <w:rsid w:val="00FC0B04"/>
    <w:rsid w:val="00FC31C0"/>
    <w:rsid w:val="00FC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55B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BB"/>
    <w:pPr>
      <w:ind w:left="720"/>
      <w:contextualSpacing/>
    </w:pPr>
  </w:style>
  <w:style w:type="paragraph" w:styleId="Header">
    <w:name w:val="header"/>
    <w:basedOn w:val="Normal"/>
    <w:link w:val="HeaderChar"/>
    <w:uiPriority w:val="99"/>
    <w:unhideWhenUsed/>
    <w:rsid w:val="00BF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FD"/>
  </w:style>
  <w:style w:type="paragraph" w:styleId="Footer">
    <w:name w:val="footer"/>
    <w:basedOn w:val="Normal"/>
    <w:link w:val="FooterChar"/>
    <w:uiPriority w:val="99"/>
    <w:unhideWhenUsed/>
    <w:rsid w:val="00BF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FD"/>
  </w:style>
  <w:style w:type="paragraph" w:styleId="BalloonText">
    <w:name w:val="Balloon Text"/>
    <w:basedOn w:val="Normal"/>
    <w:link w:val="BalloonTextChar"/>
    <w:uiPriority w:val="99"/>
    <w:semiHidden/>
    <w:unhideWhenUsed/>
    <w:rsid w:val="00896B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BBB"/>
    <w:rPr>
      <w:rFonts w:ascii="Lucida Grande" w:hAnsi="Lucida Grande" w:cs="Lucida Grande"/>
      <w:sz w:val="18"/>
      <w:szCs w:val="18"/>
    </w:rPr>
  </w:style>
  <w:style w:type="character" w:customStyle="1" w:styleId="Heading1Char">
    <w:name w:val="Heading 1 Char"/>
    <w:basedOn w:val="DefaultParagraphFont"/>
    <w:link w:val="Heading1"/>
    <w:rsid w:val="00BA55B0"/>
    <w:rPr>
      <w:rFonts w:ascii="Times New Roman" w:eastAsia="Times New Roman" w:hAnsi="Times New Roman" w:cs="Times New Roman"/>
      <w:b/>
      <w:bCs/>
      <w:sz w:val="24"/>
      <w:szCs w:val="24"/>
    </w:rPr>
  </w:style>
  <w:style w:type="paragraph" w:customStyle="1" w:styleId="1AutoList3">
    <w:name w:val="1AutoList3"/>
    <w:rsid w:val="00BA55B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NumContHalf">
    <w:name w:val="NumContHalf"/>
    <w:basedOn w:val="BodyText"/>
    <w:rsid w:val="00BA55B0"/>
    <w:pPr>
      <w:spacing w:after="240" w:line="240" w:lineRule="auto"/>
      <w:ind w:firstLine="720"/>
      <w:jc w:val="both"/>
    </w:pPr>
    <w:rPr>
      <w:rFonts w:ascii="Times New Roman" w:eastAsia="Times New Roman" w:hAnsi="Times New Roman" w:cs="Times New Roman"/>
      <w:sz w:val="24"/>
      <w:szCs w:val="20"/>
    </w:rPr>
  </w:style>
  <w:style w:type="paragraph" w:customStyle="1" w:styleId="HeadingText">
    <w:name w:val="Heading Text"/>
    <w:basedOn w:val="Normal"/>
    <w:rsid w:val="00BA55B0"/>
    <w:pPr>
      <w:tabs>
        <w:tab w:val="left" w:pos="432"/>
        <w:tab w:val="left" w:pos="936"/>
      </w:tabs>
      <w:spacing w:after="120" w:line="240" w:lineRule="exact"/>
      <w:ind w:firstLine="432"/>
    </w:pPr>
    <w:rPr>
      <w:rFonts w:ascii="Georgia" w:eastAsia="Times New Roman" w:hAnsi="Georgia" w:cs="Times New Roman"/>
      <w:sz w:val="19"/>
      <w:szCs w:val="24"/>
      <w:lang w:val="x-none" w:eastAsia="x-none"/>
    </w:rPr>
  </w:style>
  <w:style w:type="character" w:customStyle="1" w:styleId="Heading2">
    <w:name w:val="Heading2"/>
    <w:rsid w:val="00BA55B0"/>
    <w:rPr>
      <w:u w:val="single"/>
    </w:rPr>
  </w:style>
  <w:style w:type="paragraph" w:styleId="BodyText">
    <w:name w:val="Body Text"/>
    <w:basedOn w:val="Normal"/>
    <w:link w:val="BodyTextChar"/>
    <w:uiPriority w:val="99"/>
    <w:semiHidden/>
    <w:unhideWhenUsed/>
    <w:rsid w:val="00BA55B0"/>
    <w:pPr>
      <w:spacing w:after="120"/>
    </w:pPr>
  </w:style>
  <w:style w:type="character" w:customStyle="1" w:styleId="BodyTextChar">
    <w:name w:val="Body Text Char"/>
    <w:basedOn w:val="DefaultParagraphFont"/>
    <w:link w:val="BodyText"/>
    <w:uiPriority w:val="99"/>
    <w:semiHidden/>
    <w:rsid w:val="00BA55B0"/>
  </w:style>
  <w:style w:type="paragraph" w:customStyle="1" w:styleId="BodyTextHanging">
    <w:name w:val="Body Text Hanging"/>
    <w:basedOn w:val="BodyText"/>
    <w:rsid w:val="00F5131D"/>
    <w:pPr>
      <w:tabs>
        <w:tab w:val="left" w:pos="432"/>
        <w:tab w:val="left" w:pos="936"/>
      </w:tabs>
      <w:spacing w:after="240" w:line="240" w:lineRule="exact"/>
      <w:ind w:firstLine="432"/>
    </w:pPr>
    <w:rPr>
      <w:rFonts w:ascii="Georgia" w:eastAsia="Times New Roman" w:hAnsi="Georgia" w:cs="Times New Roman"/>
      <w:sz w:val="19"/>
      <w:szCs w:val="24"/>
    </w:rPr>
  </w:style>
  <w:style w:type="character" w:styleId="Hyperlink">
    <w:name w:val="Hyperlink"/>
    <w:basedOn w:val="DefaultParagraphFont"/>
    <w:uiPriority w:val="99"/>
    <w:unhideWhenUsed/>
    <w:rsid w:val="00877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55B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BB"/>
    <w:pPr>
      <w:ind w:left="720"/>
      <w:contextualSpacing/>
    </w:pPr>
  </w:style>
  <w:style w:type="paragraph" w:styleId="Header">
    <w:name w:val="header"/>
    <w:basedOn w:val="Normal"/>
    <w:link w:val="HeaderChar"/>
    <w:uiPriority w:val="99"/>
    <w:unhideWhenUsed/>
    <w:rsid w:val="00BF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FD"/>
  </w:style>
  <w:style w:type="paragraph" w:styleId="Footer">
    <w:name w:val="footer"/>
    <w:basedOn w:val="Normal"/>
    <w:link w:val="FooterChar"/>
    <w:uiPriority w:val="99"/>
    <w:unhideWhenUsed/>
    <w:rsid w:val="00BF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FD"/>
  </w:style>
  <w:style w:type="paragraph" w:styleId="BalloonText">
    <w:name w:val="Balloon Text"/>
    <w:basedOn w:val="Normal"/>
    <w:link w:val="BalloonTextChar"/>
    <w:uiPriority w:val="99"/>
    <w:semiHidden/>
    <w:unhideWhenUsed/>
    <w:rsid w:val="00896B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BBB"/>
    <w:rPr>
      <w:rFonts w:ascii="Lucida Grande" w:hAnsi="Lucida Grande" w:cs="Lucida Grande"/>
      <w:sz w:val="18"/>
      <w:szCs w:val="18"/>
    </w:rPr>
  </w:style>
  <w:style w:type="character" w:customStyle="1" w:styleId="Heading1Char">
    <w:name w:val="Heading 1 Char"/>
    <w:basedOn w:val="DefaultParagraphFont"/>
    <w:link w:val="Heading1"/>
    <w:rsid w:val="00BA55B0"/>
    <w:rPr>
      <w:rFonts w:ascii="Times New Roman" w:eastAsia="Times New Roman" w:hAnsi="Times New Roman" w:cs="Times New Roman"/>
      <w:b/>
      <w:bCs/>
      <w:sz w:val="24"/>
      <w:szCs w:val="24"/>
    </w:rPr>
  </w:style>
  <w:style w:type="paragraph" w:customStyle="1" w:styleId="1AutoList3">
    <w:name w:val="1AutoList3"/>
    <w:rsid w:val="00BA55B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NumContHalf">
    <w:name w:val="NumContHalf"/>
    <w:basedOn w:val="BodyText"/>
    <w:rsid w:val="00BA55B0"/>
    <w:pPr>
      <w:spacing w:after="240" w:line="240" w:lineRule="auto"/>
      <w:ind w:firstLine="720"/>
      <w:jc w:val="both"/>
    </w:pPr>
    <w:rPr>
      <w:rFonts w:ascii="Times New Roman" w:eastAsia="Times New Roman" w:hAnsi="Times New Roman" w:cs="Times New Roman"/>
      <w:sz w:val="24"/>
      <w:szCs w:val="20"/>
    </w:rPr>
  </w:style>
  <w:style w:type="paragraph" w:customStyle="1" w:styleId="HeadingText">
    <w:name w:val="Heading Text"/>
    <w:basedOn w:val="Normal"/>
    <w:rsid w:val="00BA55B0"/>
    <w:pPr>
      <w:tabs>
        <w:tab w:val="left" w:pos="432"/>
        <w:tab w:val="left" w:pos="936"/>
      </w:tabs>
      <w:spacing w:after="120" w:line="240" w:lineRule="exact"/>
      <w:ind w:firstLine="432"/>
    </w:pPr>
    <w:rPr>
      <w:rFonts w:ascii="Georgia" w:eastAsia="Times New Roman" w:hAnsi="Georgia" w:cs="Times New Roman"/>
      <w:sz w:val="19"/>
      <w:szCs w:val="24"/>
      <w:lang w:val="x-none" w:eastAsia="x-none"/>
    </w:rPr>
  </w:style>
  <w:style w:type="character" w:customStyle="1" w:styleId="Heading2">
    <w:name w:val="Heading2"/>
    <w:rsid w:val="00BA55B0"/>
    <w:rPr>
      <w:u w:val="single"/>
    </w:rPr>
  </w:style>
  <w:style w:type="paragraph" w:styleId="BodyText">
    <w:name w:val="Body Text"/>
    <w:basedOn w:val="Normal"/>
    <w:link w:val="BodyTextChar"/>
    <w:uiPriority w:val="99"/>
    <w:semiHidden/>
    <w:unhideWhenUsed/>
    <w:rsid w:val="00BA55B0"/>
    <w:pPr>
      <w:spacing w:after="120"/>
    </w:pPr>
  </w:style>
  <w:style w:type="character" w:customStyle="1" w:styleId="BodyTextChar">
    <w:name w:val="Body Text Char"/>
    <w:basedOn w:val="DefaultParagraphFont"/>
    <w:link w:val="BodyText"/>
    <w:uiPriority w:val="99"/>
    <w:semiHidden/>
    <w:rsid w:val="00BA55B0"/>
  </w:style>
  <w:style w:type="paragraph" w:customStyle="1" w:styleId="BodyTextHanging">
    <w:name w:val="Body Text Hanging"/>
    <w:basedOn w:val="BodyText"/>
    <w:rsid w:val="00F5131D"/>
    <w:pPr>
      <w:tabs>
        <w:tab w:val="left" w:pos="432"/>
        <w:tab w:val="left" w:pos="936"/>
      </w:tabs>
      <w:spacing w:after="240" w:line="240" w:lineRule="exact"/>
      <w:ind w:firstLine="432"/>
    </w:pPr>
    <w:rPr>
      <w:rFonts w:ascii="Georgia" w:eastAsia="Times New Roman" w:hAnsi="Georgia" w:cs="Times New Roman"/>
      <w:sz w:val="19"/>
      <w:szCs w:val="24"/>
    </w:rPr>
  </w:style>
  <w:style w:type="character" w:styleId="Hyperlink">
    <w:name w:val="Hyperlink"/>
    <w:basedOn w:val="DefaultParagraphFont"/>
    <w:uiPriority w:val="99"/>
    <w:unhideWhenUsed/>
    <w:rsid w:val="00877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autm.net/AUTM/Discussions/MySubscrip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2986</Words>
  <Characters>17023</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Arnie H Frishman</cp:lastModifiedBy>
  <cp:revision>3</cp:revision>
  <dcterms:created xsi:type="dcterms:W3CDTF">2014-03-04T19:47:00Z</dcterms:created>
  <dcterms:modified xsi:type="dcterms:W3CDTF">2014-03-04T19:50:00Z</dcterms:modified>
</cp:coreProperties>
</file>