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FB" w:rsidRDefault="00D91EFB" w:rsidP="00D91EFB">
      <w:pPr>
        <w:tabs>
          <w:tab w:val="left" w:pos="3619"/>
          <w:tab w:val="center" w:pos="5400"/>
        </w:tabs>
        <w:jc w:val="center"/>
        <w:rPr>
          <w:b/>
          <w:sz w:val="32"/>
          <w:szCs w:val="32"/>
        </w:rPr>
      </w:pPr>
      <w:r>
        <w:rPr>
          <w:b/>
          <w:sz w:val="32"/>
          <w:szCs w:val="32"/>
        </w:rPr>
        <w:t>Instructions</w:t>
      </w:r>
    </w:p>
    <w:p w:rsidR="00D91EFB" w:rsidRDefault="00D91EFB" w:rsidP="00D91EFB">
      <w:pPr>
        <w:tabs>
          <w:tab w:val="left" w:pos="3619"/>
          <w:tab w:val="center" w:pos="5400"/>
        </w:tabs>
        <w:jc w:val="center"/>
        <w:rPr>
          <w:b/>
          <w:sz w:val="32"/>
          <w:szCs w:val="32"/>
        </w:rPr>
      </w:pPr>
      <w:proofErr w:type="gramStart"/>
      <w:r>
        <w:rPr>
          <w:b/>
          <w:sz w:val="32"/>
          <w:szCs w:val="32"/>
        </w:rPr>
        <w:t>for</w:t>
      </w:r>
      <w:proofErr w:type="gramEnd"/>
    </w:p>
    <w:p w:rsidR="00D91EFB" w:rsidRDefault="00D91EFB" w:rsidP="00D91EFB">
      <w:pPr>
        <w:tabs>
          <w:tab w:val="left" w:pos="3619"/>
          <w:tab w:val="center" w:pos="5400"/>
        </w:tabs>
        <w:jc w:val="center"/>
        <w:rPr>
          <w:b/>
          <w:sz w:val="32"/>
          <w:szCs w:val="32"/>
        </w:rPr>
      </w:pPr>
      <w:r>
        <w:rPr>
          <w:b/>
          <w:sz w:val="32"/>
          <w:szCs w:val="32"/>
        </w:rPr>
        <w:t>Lab Use Agreement Instructions - Company</w:t>
      </w:r>
    </w:p>
    <w:p w:rsidR="00516695" w:rsidRDefault="002F0A5E" w:rsidP="00D91EFB">
      <w:pPr>
        <w:pStyle w:val="Heading2"/>
        <w:pBdr>
          <w:bottom w:val="single" w:sz="4" w:space="1" w:color="auto"/>
        </w:pBdr>
        <w:tabs>
          <w:tab w:val="left" w:pos="7926"/>
        </w:tabs>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516695" w:rsidRDefault="002F0A5E" w:rsidP="005C3177">
      <w:pPr>
        <w:rPr>
          <w:szCs w:val="24"/>
        </w:rPr>
      </w:pPr>
      <w:r>
        <w:rPr>
          <w:szCs w:val="24"/>
        </w:rPr>
        <w:t>The Office of the General Counsel (OGC) has created a Standard Lab Use Agreement - Company (</w:t>
      </w:r>
      <w:r>
        <w:rPr>
          <w:i/>
          <w:szCs w:val="24"/>
        </w:rPr>
        <w:t xml:space="preserve">see OGC standard form </w:t>
      </w:r>
      <w:r>
        <w:rPr>
          <w:szCs w:val="24"/>
        </w:rPr>
        <w:t>OGC-SC104) for use of lab equipment or use of a supervised lab.  Always take a copy of the latest contract revision from the OGC standard contracts library.</w:t>
      </w:r>
    </w:p>
    <w:p w:rsidR="00516695" w:rsidRDefault="00133DE3">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bookmarkStart w:id="0" w:name="_GoBack"/>
      <w:bookmarkEnd w:id="0"/>
    </w:p>
    <w:p w:rsidR="00516695" w:rsidRDefault="002F0A5E">
      <w:pPr>
        <w:rPr>
          <w:szCs w:val="24"/>
        </w:rPr>
      </w:pPr>
      <w:r>
        <w:rPr>
          <w:szCs w:val="24"/>
        </w:rPr>
        <w:t>In general, an agreement (or contract) has two primary purposes:</w:t>
      </w:r>
    </w:p>
    <w:p w:rsidR="00516695" w:rsidRDefault="002F0A5E" w:rsidP="005C3177">
      <w:pPr>
        <w:pStyle w:val="ListParagraph"/>
        <w:numPr>
          <w:ilvl w:val="0"/>
          <w:numId w:val="1"/>
        </w:numPr>
        <w:spacing w:before="200" w:after="0"/>
        <w:contextualSpacing w:val="0"/>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w:t>
      </w:r>
    </w:p>
    <w:p w:rsidR="00516695" w:rsidRDefault="002F0A5E" w:rsidP="005C3177">
      <w:pPr>
        <w:pStyle w:val="ListParagraph"/>
        <w:numPr>
          <w:ilvl w:val="0"/>
          <w:numId w:val="2"/>
        </w:numPr>
        <w:spacing w:before="200" w:after="0"/>
        <w:contextualSpacing w:val="0"/>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warranties, termination,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University name or logo, limitation of liability, indemnification, and export controls.  </w:t>
      </w:r>
    </w:p>
    <w:p w:rsidR="00516695" w:rsidRDefault="002F0A5E">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Lab Use Agreement</w:t>
      </w:r>
    </w:p>
    <w:p w:rsidR="00516695" w:rsidRDefault="002F0A5E">
      <w:pPr>
        <w:rPr>
          <w:szCs w:val="24"/>
        </w:rPr>
      </w:pPr>
      <w:r>
        <w:rPr>
          <w:szCs w:val="24"/>
        </w:rPr>
        <w:t xml:space="preserve">The department making the external sale completes the gray-shaded areas of the OGC approved Lab Use Agreement, to include: </w:t>
      </w:r>
    </w:p>
    <w:p w:rsidR="00516695" w:rsidRDefault="00516695">
      <w:pPr>
        <w:rPr>
          <w:szCs w:val="24"/>
        </w:rPr>
      </w:pPr>
    </w:p>
    <w:p w:rsidR="00516695" w:rsidRDefault="002F0A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516695" w:rsidRDefault="002F0A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 chart/field string (Fund, Dept</w:t>
      </w:r>
      <w:r w:rsidR="005C3177">
        <w:rPr>
          <w:rFonts w:ascii="Times New Roman" w:hAnsi="Times New Roman" w:cs="Times New Roman"/>
          <w:sz w:val="24"/>
          <w:szCs w:val="24"/>
        </w:rPr>
        <w:t>.</w:t>
      </w:r>
      <w:r>
        <w:rPr>
          <w:rFonts w:ascii="Times New Roman" w:hAnsi="Times New Roman" w:cs="Times New Roman"/>
          <w:sz w:val="24"/>
          <w:szCs w:val="24"/>
        </w:rPr>
        <w:t xml:space="preserve"> ID, Program, CF2)</w:t>
      </w:r>
    </w:p>
    <w:p w:rsidR="00516695" w:rsidRDefault="002F0A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paragraph:</w:t>
      </w:r>
    </w:p>
    <w:p w:rsidR="00516695" w:rsidRDefault="002F0A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Contract effective date (when you want the contract to start)</w:t>
      </w:r>
    </w:p>
    <w:p w:rsidR="00516695" w:rsidRDefault="002F0A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Customer’s legal name (“Company”)</w:t>
      </w:r>
    </w:p>
    <w:p w:rsidR="00516695" w:rsidRDefault="002F0A5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rsidR="00516695" w:rsidRDefault="002F0A5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“This Agreement is entered into by University through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w:t>
      </w:r>
    </w:p>
    <w:p w:rsidR="00516695" w:rsidRDefault="002F0A5E">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Enter department name that matches the Dept</w:t>
      </w:r>
      <w:r w:rsidR="005C3177">
        <w:rPr>
          <w:rFonts w:ascii="Times New Roman" w:hAnsi="Times New Roman" w:cs="Times New Roman"/>
          <w:sz w:val="24"/>
          <w:szCs w:val="24"/>
        </w:rPr>
        <w:t xml:space="preserve">. </w:t>
      </w:r>
      <w:r>
        <w:rPr>
          <w:rFonts w:ascii="Times New Roman" w:hAnsi="Times New Roman" w:cs="Times New Roman"/>
          <w:sz w:val="24"/>
          <w:szCs w:val="24"/>
        </w:rPr>
        <w:t>ID description in Chart of Accounts</w:t>
      </w:r>
    </w:p>
    <w:p w:rsidR="00516695" w:rsidRDefault="002F0A5E">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Item 2 “Fee”:</w:t>
      </w:r>
    </w:p>
    <w:p w:rsidR="00516695" w:rsidRDefault="002F0A5E">
      <w:pPr>
        <w:pStyle w:val="ListParagraph"/>
        <w:numPr>
          <w:ilvl w:val="1"/>
          <w:numId w:val="5"/>
        </w:numPr>
        <w:ind w:left="1440"/>
        <w:rPr>
          <w:rFonts w:ascii="Times New Roman" w:hAnsi="Times New Roman" w:cs="Times New Roman"/>
          <w:sz w:val="24"/>
          <w:szCs w:val="24"/>
        </w:rPr>
      </w:pPr>
      <w:r>
        <w:rPr>
          <w:rFonts w:ascii="Times New Roman" w:hAnsi="Times New Roman" w:cs="Times New Roman"/>
          <w:sz w:val="24"/>
          <w:szCs w:val="24"/>
        </w:rPr>
        <w:t>Attach the fee “schedule” or standard rate sheet</w:t>
      </w:r>
    </w:p>
    <w:p w:rsidR="00516695" w:rsidRDefault="002F0A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Item 11.6 “Notices”: </w:t>
      </w:r>
    </w:p>
    <w:p w:rsidR="00516695" w:rsidRDefault="002F0A5E" w:rsidP="005C317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Enter the contact information of the department into the </w:t>
      </w:r>
      <w:r>
        <w:rPr>
          <w:rFonts w:ascii="Times New Roman" w:hAnsi="Times New Roman" w:cs="Times New Roman"/>
          <w:i/>
          <w:sz w:val="24"/>
          <w:szCs w:val="24"/>
        </w:rPr>
        <w:t>If to the University</w:t>
      </w:r>
      <w:r>
        <w:rPr>
          <w:rFonts w:ascii="Times New Roman" w:hAnsi="Times New Roman" w:cs="Times New Roman"/>
          <w:sz w:val="24"/>
          <w:szCs w:val="24"/>
        </w:rPr>
        <w:t xml:space="preserve"> field</w:t>
      </w:r>
    </w:p>
    <w:p w:rsidR="00516695" w:rsidRDefault="002F0A5E" w:rsidP="005C317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Enter the contact information of the customer into the </w:t>
      </w:r>
      <w:r>
        <w:rPr>
          <w:rFonts w:ascii="Times New Roman" w:hAnsi="Times New Roman" w:cs="Times New Roman"/>
          <w:i/>
          <w:sz w:val="24"/>
          <w:szCs w:val="24"/>
        </w:rPr>
        <w:t>If to the Company</w:t>
      </w:r>
      <w:r>
        <w:rPr>
          <w:rFonts w:ascii="Times New Roman" w:hAnsi="Times New Roman" w:cs="Times New Roman"/>
          <w:sz w:val="24"/>
          <w:szCs w:val="24"/>
        </w:rPr>
        <w:t xml:space="preserve"> field</w:t>
      </w:r>
    </w:p>
    <w:p w:rsidR="00516695" w:rsidRDefault="002F0A5E">
      <w:pPr>
        <w:pStyle w:val="ListParagraph"/>
        <w:numPr>
          <w:ilvl w:val="2"/>
          <w:numId w:val="6"/>
        </w:numPr>
        <w:ind w:left="720"/>
        <w:rPr>
          <w:rFonts w:ascii="Times New Roman" w:hAnsi="Times New Roman" w:cs="Times New Roman"/>
          <w:sz w:val="24"/>
          <w:szCs w:val="24"/>
        </w:rPr>
      </w:pPr>
      <w:r>
        <w:rPr>
          <w:rFonts w:ascii="Times New Roman" w:hAnsi="Times New Roman" w:cs="Times New Roman"/>
          <w:sz w:val="24"/>
          <w:szCs w:val="24"/>
        </w:rPr>
        <w:t>Witness Whereof:</w:t>
      </w:r>
    </w:p>
    <w:p w:rsidR="00516695" w:rsidRDefault="002F0A5E" w:rsidP="005C3177">
      <w:pPr>
        <w:pStyle w:val="ListParagraph"/>
        <w:numPr>
          <w:ilvl w:val="1"/>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rsidR="00516695" w:rsidRDefault="002F0A5E" w:rsidP="005C3177">
      <w:pPr>
        <w:pStyle w:val="ListParagraph"/>
        <w:numPr>
          <w:ilvl w:val="1"/>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Title. The customer should sign first and then return to the department for signature.</w:t>
      </w:r>
    </w:p>
    <w:sectPr w:rsidR="00516695" w:rsidSect="00D91EFB">
      <w:footerReference w:type="default" r:id="rId8"/>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95" w:rsidRDefault="002F0A5E">
      <w:r>
        <w:separator/>
      </w:r>
    </w:p>
  </w:endnote>
  <w:endnote w:type="continuationSeparator" w:id="0">
    <w:p w:rsidR="00516695" w:rsidRDefault="002F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FB" w:rsidRPr="00D91EFB" w:rsidRDefault="00D91EFB">
    <w:pPr>
      <w:pStyle w:val="Footer"/>
      <w:rPr>
        <w:sz w:val="14"/>
      </w:rPr>
    </w:pPr>
    <w:r w:rsidRPr="00D91EFB">
      <w:rPr>
        <w:sz w:val="14"/>
      </w:rPr>
      <w:t>Instructions for Lab Use Agreement - Company</w:t>
    </w:r>
  </w:p>
  <w:p w:rsidR="00D91EFB" w:rsidRPr="00D91EFB" w:rsidRDefault="00D91EFB">
    <w:pPr>
      <w:pStyle w:val="Footer"/>
      <w:rPr>
        <w:sz w:val="14"/>
      </w:rPr>
    </w:pPr>
    <w:r w:rsidRPr="00D91EFB">
      <w:rPr>
        <w:sz w:val="14"/>
      </w:rPr>
      <w:t>Form:  OGC-SC104</w:t>
    </w:r>
  </w:p>
  <w:p w:rsidR="00D91EFB" w:rsidRPr="00D91EFB" w:rsidRDefault="00D91EFB">
    <w:pPr>
      <w:pStyle w:val="Footer"/>
      <w:rPr>
        <w:sz w:val="14"/>
      </w:rPr>
    </w:pPr>
    <w:r w:rsidRPr="00D91EFB">
      <w:rPr>
        <w:sz w:val="14"/>
      </w:rPr>
      <w:t>Form Date:  12.16.15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95" w:rsidRDefault="002F0A5E">
      <w:r>
        <w:separator/>
      </w:r>
    </w:p>
  </w:footnote>
  <w:footnote w:type="continuationSeparator" w:id="0">
    <w:p w:rsidR="00516695" w:rsidRDefault="002F0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0F98"/>
    <w:multiLevelType w:val="hybridMultilevel"/>
    <w:tmpl w:val="6D106DEA"/>
    <w:lvl w:ilvl="0" w:tplc="CB3A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A525F"/>
    <w:multiLevelType w:val="hybridMultilevel"/>
    <w:tmpl w:val="7A10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15556"/>
    <w:multiLevelType w:val="hybridMultilevel"/>
    <w:tmpl w:val="025A9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0F4C03"/>
    <w:multiLevelType w:val="hybridMultilevel"/>
    <w:tmpl w:val="E6A617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ocumentProtection w:edit="readOnly" w:enforcement="1" w:cryptProviderType="rsaFull" w:cryptAlgorithmClass="hash" w:cryptAlgorithmType="typeAny" w:cryptAlgorithmSid="4" w:cryptSpinCount="100000" w:hash="DaX8tE9Nx28T7eH542q1uMn1drY=" w:salt="Criei83e99ymDqKhK41k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95"/>
    <w:rsid w:val="00133DE3"/>
    <w:rsid w:val="002F0A5E"/>
    <w:rsid w:val="00516695"/>
    <w:rsid w:val="005C3177"/>
    <w:rsid w:val="00A13064"/>
    <w:rsid w:val="00D9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240" w:after="240"/>
    </w:pPr>
    <w:rPr>
      <w:bCs w:val="0"/>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sz w:val="16"/>
      <w:szCs w:val="16"/>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bCs/>
      <w:sz w:val="24"/>
      <w:szCs w:val="20"/>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240" w:after="240"/>
    </w:pPr>
    <w:rPr>
      <w:bCs w:val="0"/>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bCs w:val="0"/>
      <w:sz w:val="22"/>
      <w:szCs w:val="22"/>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bCs/>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4</cp:revision>
  <dcterms:created xsi:type="dcterms:W3CDTF">2015-12-16T20:34:00Z</dcterms:created>
  <dcterms:modified xsi:type="dcterms:W3CDTF">2015-12-16T20:36:00Z</dcterms:modified>
  <cp:version>0</cp:version>
</cp:coreProperties>
</file>